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869CC" w14:textId="77777777" w:rsidR="00E40E67" w:rsidRPr="00033F16" w:rsidRDefault="003323BC" w:rsidP="0030557B">
      <w:pPr>
        <w:jc w:val="center"/>
        <w:outlineLvl w:val="0"/>
        <w:rPr>
          <w:noProof/>
          <w:lang w:eastAsia="en-GB"/>
        </w:rPr>
      </w:pPr>
      <w:r w:rsidRPr="00033F16">
        <w:rPr>
          <w:noProof/>
          <w:lang w:val="en-US"/>
        </w:rPr>
        <w:drawing>
          <wp:inline distT="0" distB="0" distL="0" distR="0" wp14:anchorId="17A16D49" wp14:editId="26EA4C0F">
            <wp:extent cx="1076325" cy="1447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447800"/>
                    </a:xfrm>
                    <a:prstGeom prst="rect">
                      <a:avLst/>
                    </a:prstGeom>
                    <a:noFill/>
                    <a:ln>
                      <a:noFill/>
                    </a:ln>
                  </pic:spPr>
                </pic:pic>
              </a:graphicData>
            </a:graphic>
          </wp:inline>
        </w:drawing>
      </w:r>
    </w:p>
    <w:p w14:paraId="604F9392" w14:textId="77777777" w:rsidR="00492581" w:rsidRPr="00033F16" w:rsidRDefault="00E23CB0" w:rsidP="0030557B">
      <w:pPr>
        <w:jc w:val="center"/>
        <w:outlineLvl w:val="0"/>
        <w:rPr>
          <w:b/>
        </w:rPr>
      </w:pPr>
      <w:r w:rsidRPr="00033F16">
        <w:t xml:space="preserve">  </w:t>
      </w:r>
    </w:p>
    <w:p w14:paraId="67DD276C" w14:textId="77777777" w:rsidR="00FF0085" w:rsidRPr="00033F16" w:rsidRDefault="003D40C6" w:rsidP="00B96BCF">
      <w:pPr>
        <w:jc w:val="center"/>
        <w:outlineLvl w:val="0"/>
        <w:rPr>
          <w:b/>
        </w:rPr>
      </w:pPr>
      <w:r w:rsidRPr="00033F16">
        <w:rPr>
          <w:b/>
        </w:rPr>
        <w:t>Bank of Zambia</w:t>
      </w:r>
    </w:p>
    <w:p w14:paraId="2A3E3CD7" w14:textId="77777777" w:rsidR="00B96BCF" w:rsidRPr="00033F16" w:rsidRDefault="00B96BCF" w:rsidP="00B96BCF">
      <w:pPr>
        <w:jc w:val="center"/>
        <w:outlineLvl w:val="0"/>
        <w:rPr>
          <w:b/>
        </w:rPr>
      </w:pPr>
    </w:p>
    <w:p w14:paraId="30B0DF72" w14:textId="77777777" w:rsidR="00FF0085" w:rsidRPr="00033F16" w:rsidRDefault="00FF0085" w:rsidP="0030557B">
      <w:pPr>
        <w:shd w:val="clear" w:color="auto" w:fill="C0C0C0"/>
        <w:jc w:val="center"/>
        <w:outlineLvl w:val="0"/>
      </w:pPr>
      <w:r w:rsidRPr="00033F16">
        <w:rPr>
          <w:b/>
        </w:rPr>
        <w:t>INVITATION FOR EXPRESSIONS OF INTEREST</w:t>
      </w:r>
    </w:p>
    <w:p w14:paraId="0C78DC01" w14:textId="77777777" w:rsidR="00E1443D" w:rsidRPr="00033F16" w:rsidRDefault="00E1443D" w:rsidP="0030557B">
      <w:pPr>
        <w:jc w:val="center"/>
      </w:pPr>
    </w:p>
    <w:p w14:paraId="139CBFB3" w14:textId="782AC280" w:rsidR="00BF5C6D" w:rsidRPr="00033F16" w:rsidRDefault="00460E78" w:rsidP="00BF5C6D">
      <w:pPr>
        <w:rPr>
          <w:b/>
          <w:color w:val="000000"/>
        </w:rPr>
      </w:pPr>
      <w:r w:rsidRPr="00033F16">
        <w:rPr>
          <w:b/>
          <w:color w:val="000000"/>
        </w:rPr>
        <w:t>REFERENCE NO.</w:t>
      </w:r>
      <w:r w:rsidRPr="00033F16">
        <w:rPr>
          <w:b/>
          <w:color w:val="000000"/>
        </w:rPr>
        <w:tab/>
      </w:r>
      <w:r w:rsidRPr="00033F16">
        <w:rPr>
          <w:b/>
        </w:rPr>
        <w:t xml:space="preserve">: </w:t>
      </w:r>
      <w:r w:rsidR="006205AA" w:rsidRPr="00033F16">
        <w:rPr>
          <w:b/>
        </w:rPr>
        <w:t xml:space="preserve"> </w:t>
      </w:r>
      <w:r w:rsidR="00455AE4" w:rsidRPr="00033F16">
        <w:rPr>
          <w:b/>
        </w:rPr>
        <w:t>BOZ/EOI/0</w:t>
      </w:r>
      <w:r w:rsidR="00B95984" w:rsidRPr="00033F16">
        <w:rPr>
          <w:b/>
        </w:rPr>
        <w:t>4</w:t>
      </w:r>
      <w:r w:rsidR="00455AE4" w:rsidRPr="00033F16">
        <w:rPr>
          <w:b/>
        </w:rPr>
        <w:t>/</w:t>
      </w:r>
      <w:r w:rsidR="003D40C6" w:rsidRPr="00033F16">
        <w:rPr>
          <w:b/>
        </w:rPr>
        <w:t>202</w:t>
      </w:r>
      <w:r w:rsidR="00B95984" w:rsidRPr="00033F16">
        <w:rPr>
          <w:b/>
        </w:rPr>
        <w:t>2</w:t>
      </w:r>
    </w:p>
    <w:p w14:paraId="7F72E561" w14:textId="77777777" w:rsidR="003D40C6" w:rsidRPr="00033F16" w:rsidRDefault="003D40C6" w:rsidP="003D40C6">
      <w:pPr>
        <w:jc w:val="both"/>
        <w:rPr>
          <w:b/>
          <w:color w:val="000000"/>
        </w:rPr>
      </w:pPr>
    </w:p>
    <w:p w14:paraId="5213CB04" w14:textId="77777777" w:rsidR="004C682D" w:rsidRPr="00033F16" w:rsidRDefault="00BF5C6D" w:rsidP="004C682D">
      <w:pPr>
        <w:suppressAutoHyphens/>
        <w:spacing w:after="120"/>
        <w:jc w:val="both"/>
        <w:rPr>
          <w:b/>
          <w:bCs/>
        </w:rPr>
      </w:pPr>
      <w:r w:rsidRPr="00033F16">
        <w:rPr>
          <w:b/>
          <w:color w:val="000000"/>
        </w:rPr>
        <w:t>TENDER TITLE</w:t>
      </w:r>
      <w:r w:rsidRPr="00033F16">
        <w:rPr>
          <w:b/>
          <w:color w:val="000000"/>
        </w:rPr>
        <w:tab/>
        <w:t xml:space="preserve">:  </w:t>
      </w:r>
      <w:r w:rsidR="004C682D" w:rsidRPr="00033F16">
        <w:rPr>
          <w:b/>
          <w:bCs/>
        </w:rPr>
        <w:t>TENDER FOR THE PROVISION OF CONSULTANCY SERVICES FOR THE DESIGN AND SUPERVISION OF THE IMPLEMENTATION OF A DATA WAREHOUSE SOLUTION WITH SUPERVISORY TECHNOLOGY CAPABILITIES</w:t>
      </w:r>
      <w:r w:rsidR="004C682D" w:rsidRPr="00033F16" w:rsidDel="00645F5E">
        <w:rPr>
          <w:b/>
          <w:bCs/>
        </w:rPr>
        <w:t xml:space="preserve"> </w:t>
      </w:r>
    </w:p>
    <w:p w14:paraId="75D6B2A5" w14:textId="5C6046BF" w:rsidR="00BF5C6D" w:rsidRPr="00033F16" w:rsidRDefault="00BF5C6D" w:rsidP="003D40C6">
      <w:pPr>
        <w:jc w:val="both"/>
        <w:rPr>
          <w:b/>
        </w:rPr>
      </w:pPr>
    </w:p>
    <w:p w14:paraId="4890603F" w14:textId="77777777" w:rsidR="003B17E9" w:rsidRPr="00033F16" w:rsidRDefault="003B17E9" w:rsidP="003B17E9">
      <w:pPr>
        <w:pStyle w:val="BankNormal"/>
        <w:spacing w:after="0"/>
        <w:jc w:val="both"/>
        <w:rPr>
          <w:b/>
          <w:szCs w:val="24"/>
        </w:rPr>
      </w:pPr>
    </w:p>
    <w:p w14:paraId="65C937E9" w14:textId="77777777" w:rsidR="003B17E9" w:rsidRPr="00033F16" w:rsidRDefault="003B17E9" w:rsidP="00803F60">
      <w:pPr>
        <w:pStyle w:val="BankNormal"/>
        <w:numPr>
          <w:ilvl w:val="0"/>
          <w:numId w:val="1"/>
        </w:numPr>
        <w:spacing w:after="0"/>
        <w:ind w:left="540"/>
        <w:jc w:val="both"/>
        <w:rPr>
          <w:b/>
          <w:szCs w:val="24"/>
        </w:rPr>
      </w:pPr>
      <w:r w:rsidRPr="00033F16">
        <w:rPr>
          <w:b/>
          <w:szCs w:val="24"/>
        </w:rPr>
        <w:t>INTRODUCTION</w:t>
      </w:r>
    </w:p>
    <w:p w14:paraId="7372DC7A" w14:textId="77777777" w:rsidR="003B17E9" w:rsidRPr="00033F16" w:rsidRDefault="003B17E9" w:rsidP="003B17E9">
      <w:pPr>
        <w:contextualSpacing/>
        <w:jc w:val="both"/>
        <w:rPr>
          <w:lang w:val="en-US"/>
        </w:rPr>
      </w:pPr>
    </w:p>
    <w:p w14:paraId="188137AC" w14:textId="6BF91E09" w:rsidR="002677A4" w:rsidRPr="000C116B" w:rsidRDefault="003D40C6" w:rsidP="003B17E9">
      <w:pPr>
        <w:tabs>
          <w:tab w:val="left" w:pos="0"/>
          <w:tab w:val="left" w:pos="1800"/>
          <w:tab w:val="left" w:pos="2520"/>
          <w:tab w:val="left" w:pos="3240"/>
          <w:tab w:val="left" w:pos="3960"/>
          <w:tab w:val="left" w:pos="4680"/>
          <w:tab w:val="left" w:pos="5400"/>
          <w:tab w:val="left" w:pos="6120"/>
          <w:tab w:val="left" w:pos="6840"/>
          <w:tab w:val="left" w:pos="7560"/>
          <w:tab w:val="left" w:pos="8280"/>
          <w:tab w:val="left" w:pos="9000"/>
        </w:tabs>
        <w:ind w:left="540" w:right="334"/>
        <w:jc w:val="both"/>
      </w:pPr>
      <w:r w:rsidRPr="000C116B">
        <w:t>The Bank of Zambia in its 202</w:t>
      </w:r>
      <w:r w:rsidR="004C682D" w:rsidRPr="000C116B">
        <w:t>2</w:t>
      </w:r>
      <w:r w:rsidR="002677A4" w:rsidRPr="000C116B">
        <w:t xml:space="preserve"> Capital Expenditure</w:t>
      </w:r>
      <w:r w:rsidR="003B17E9" w:rsidRPr="000C116B">
        <w:t xml:space="preserve"> Budget made a provision towards the cost of </w:t>
      </w:r>
      <w:r w:rsidRPr="000C116B">
        <w:t xml:space="preserve">Establishing a Data Warehouse </w:t>
      </w:r>
      <w:r w:rsidR="003B17E9" w:rsidRPr="000C116B">
        <w:t xml:space="preserve">and is hereby calling for Expressions of Interest for provision of consultancy services </w:t>
      </w:r>
      <w:r w:rsidR="002677A4" w:rsidRPr="000C116B">
        <w:t xml:space="preserve">for the </w:t>
      </w:r>
      <w:r w:rsidRPr="000C116B">
        <w:t xml:space="preserve">Establishment of a Data Warehouse </w:t>
      </w:r>
      <w:r w:rsidR="004C682D" w:rsidRPr="00033F16">
        <w:t>solution with supervisory technology capabilities</w:t>
      </w:r>
      <w:r w:rsidR="004C682D" w:rsidRPr="000C116B" w:rsidDel="00645F5E">
        <w:t xml:space="preserve"> </w:t>
      </w:r>
      <w:r w:rsidRPr="000C116B">
        <w:t>at Bank of Zambia</w:t>
      </w:r>
      <w:r w:rsidR="000C116B">
        <w:t>.</w:t>
      </w:r>
    </w:p>
    <w:p w14:paraId="304184FF" w14:textId="77777777" w:rsidR="003D40C6" w:rsidRPr="00033F16" w:rsidRDefault="003D40C6" w:rsidP="003B17E9">
      <w:pPr>
        <w:tabs>
          <w:tab w:val="left" w:pos="0"/>
          <w:tab w:val="left" w:pos="1800"/>
          <w:tab w:val="left" w:pos="2520"/>
          <w:tab w:val="left" w:pos="3240"/>
          <w:tab w:val="left" w:pos="3960"/>
          <w:tab w:val="left" w:pos="4680"/>
          <w:tab w:val="left" w:pos="5400"/>
          <w:tab w:val="left" w:pos="6120"/>
          <w:tab w:val="left" w:pos="6840"/>
          <w:tab w:val="left" w:pos="7560"/>
          <w:tab w:val="left" w:pos="8280"/>
          <w:tab w:val="left" w:pos="9000"/>
        </w:tabs>
        <w:ind w:left="540" w:right="334"/>
        <w:jc w:val="both"/>
      </w:pPr>
    </w:p>
    <w:p w14:paraId="5C97F75D" w14:textId="77777777" w:rsidR="002677A4" w:rsidRPr="00033F16" w:rsidRDefault="002677A4" w:rsidP="00803F60">
      <w:pPr>
        <w:pStyle w:val="BankNormal"/>
        <w:numPr>
          <w:ilvl w:val="0"/>
          <w:numId w:val="1"/>
        </w:numPr>
        <w:spacing w:after="0"/>
        <w:ind w:left="540"/>
        <w:jc w:val="both"/>
        <w:rPr>
          <w:b/>
        </w:rPr>
      </w:pPr>
      <w:r w:rsidRPr="00033F16">
        <w:rPr>
          <w:b/>
        </w:rPr>
        <w:t xml:space="preserve">BACKGROUND </w:t>
      </w:r>
    </w:p>
    <w:p w14:paraId="4CF984A0" w14:textId="77777777" w:rsidR="002677A4" w:rsidRPr="00033F16" w:rsidRDefault="002677A4" w:rsidP="002677A4">
      <w:pPr>
        <w:pStyle w:val="BankNormal"/>
        <w:spacing w:after="0"/>
        <w:ind w:left="540"/>
        <w:jc w:val="both"/>
        <w:rPr>
          <w:b/>
        </w:rPr>
      </w:pPr>
    </w:p>
    <w:p w14:paraId="28C33E01" w14:textId="77777777" w:rsidR="00FD4CD9" w:rsidRPr="00033F16" w:rsidRDefault="00FD4CD9" w:rsidP="00FD4CD9">
      <w:pPr>
        <w:spacing w:before="120" w:after="120"/>
        <w:ind w:left="540"/>
        <w:jc w:val="both"/>
      </w:pPr>
      <w:r w:rsidRPr="00033F16">
        <w:t xml:space="preserve">The Bank of Zambia is the Central Bank of the Republic of Zambia. Its mission is to achieve and maintain price and financial system stability to foster sustainable economic development. To achieve this objective, the Bank of Zambia relies on various data sources for policy formulation and implementation. </w:t>
      </w:r>
    </w:p>
    <w:p w14:paraId="652E6EAC" w14:textId="77777777" w:rsidR="00FD4CD9" w:rsidRPr="00033F16" w:rsidRDefault="00FD4CD9" w:rsidP="00FD4CD9">
      <w:pPr>
        <w:spacing w:before="120" w:after="120"/>
        <w:ind w:left="540"/>
        <w:jc w:val="both"/>
      </w:pPr>
      <w:r w:rsidRPr="00033F16">
        <w:t>In its strategic plan for the period 2020-2023, the Bank of Zambia (Bank) has set out strategic objectives two of which are the need to “enhance data collection, management and application”, and “strengthen micro prudential regulations and supervision”. Under these objectives, two of the key activities are to “establish a Data Warehouse (DW) for efficient storage, retrieval and analysis of data, and implement Supervisory Technology (SupTech) to digitize reporting and regulatory processes to foster more efficient and proactive monitoring of risks and compliance in the financial sector”.</w:t>
      </w:r>
    </w:p>
    <w:p w14:paraId="4158B32C" w14:textId="77777777" w:rsidR="00FD4CD9" w:rsidRPr="00033F16" w:rsidRDefault="00FD4CD9" w:rsidP="00FD4CD9">
      <w:pPr>
        <w:spacing w:before="120" w:after="120"/>
        <w:ind w:left="540"/>
        <w:jc w:val="both"/>
      </w:pPr>
      <w:r w:rsidRPr="00033F16">
        <w:t xml:space="preserve">Currently, the Bank collects data from various data sources and mostly stores it in Microsoft Excel. Some of the data collected is posted on the Bank’s website. Further, storage of official data at the Bank of Zambia is decentralized through several platforms, </w:t>
      </w:r>
      <w:proofErr w:type="gramStart"/>
      <w:r w:rsidRPr="00033F16">
        <w:t>software</w:t>
      </w:r>
      <w:proofErr w:type="gramEnd"/>
      <w:r w:rsidRPr="00033F16">
        <w:t xml:space="preserve"> and Departmental data repositories. This presents an inefficient and ineffective utilization of data and remains a security challenge. To resolve these challenges, the Bank has embarked on a project to establish an Electronic Data Warehouse (DW) with Supervisory Technology </w:t>
      </w:r>
      <w:r w:rsidRPr="00033F16">
        <w:lastRenderedPageBreak/>
        <w:t xml:space="preserve">(SupTech) capabilities. This Project intends to resolve the above-mentioned challenges by integrating data with different structures (heterogeneous sources) from different sources into one repository. </w:t>
      </w:r>
    </w:p>
    <w:p w14:paraId="02DE6E0A" w14:textId="77777777" w:rsidR="00FD4CD9" w:rsidRPr="00033F16" w:rsidRDefault="00FD4CD9" w:rsidP="00FD4CD9">
      <w:pPr>
        <w:spacing w:before="120" w:after="120"/>
        <w:ind w:left="549" w:right="56"/>
        <w:jc w:val="both"/>
      </w:pPr>
      <w:r w:rsidRPr="00033F16">
        <w:t xml:space="preserve">The DW Project with SupTech capabilities involves the creation of a consolidated DW supported by an appropriate software for efficient storage, retrieval and analysis of data.  The Bank wishes to engage two firms, a consultant to provide consultancy services on the establishment of a DW with SupTech capabilities, and a vendor to supply and implement the DW solution with SupTech capabilities. Arising from the Project Management Plan (PMP), the role of the consultant is to guide the execution and operationalization of the consolidated </w:t>
      </w:r>
      <w:r w:rsidRPr="00033F16">
        <w:rPr>
          <w:iCs/>
        </w:rPr>
        <w:t>DW</w:t>
      </w:r>
      <w:r w:rsidRPr="00033F16">
        <w:t xml:space="preserve"> </w:t>
      </w:r>
      <w:r w:rsidRPr="00033F16">
        <w:rPr>
          <w:iCs/>
        </w:rPr>
        <w:t>with SupTech capabilities</w:t>
      </w:r>
      <w:r w:rsidRPr="00033F16">
        <w:rPr>
          <w:i/>
          <w:iCs/>
        </w:rPr>
        <w:t>.</w:t>
      </w:r>
      <w:r w:rsidRPr="00033F16">
        <w:t xml:space="preserve"> </w:t>
      </w:r>
    </w:p>
    <w:p w14:paraId="2A301AF3" w14:textId="77777777" w:rsidR="00FD4CD9" w:rsidRPr="00033F16" w:rsidRDefault="00FD4CD9" w:rsidP="00FD4CD9">
      <w:pPr>
        <w:spacing w:before="120" w:after="120"/>
        <w:ind w:left="549" w:right="56"/>
        <w:jc w:val="both"/>
      </w:pPr>
      <w:r w:rsidRPr="00033F16">
        <w:t>To this effect, the Bank has drawn up Terms of Reference (TOR) for the engagement of a consultant to support its efforts in establishing the DW with SupTech capabilities and setting up a framework for operationalizing the DW solution with SupTech capabilities. It should be noted that these TOR are not for the vendor to supply and implement the DW solution with SupTech capabilities.</w:t>
      </w:r>
    </w:p>
    <w:p w14:paraId="359316CD" w14:textId="77777777" w:rsidR="009C343C" w:rsidRPr="00033F16" w:rsidRDefault="009C343C" w:rsidP="00FB7206"/>
    <w:p w14:paraId="66DE9076" w14:textId="77777777" w:rsidR="009C343C" w:rsidRPr="00033F16" w:rsidRDefault="009C343C" w:rsidP="00FB7206"/>
    <w:p w14:paraId="0358DE7B" w14:textId="77777777" w:rsidR="00FB7206" w:rsidRPr="00033F16" w:rsidRDefault="00FB7206" w:rsidP="00803F60">
      <w:pPr>
        <w:pStyle w:val="BankNormal"/>
        <w:numPr>
          <w:ilvl w:val="0"/>
          <w:numId w:val="1"/>
        </w:numPr>
        <w:tabs>
          <w:tab w:val="left" w:pos="450"/>
        </w:tabs>
        <w:spacing w:after="0"/>
        <w:ind w:left="540"/>
        <w:jc w:val="both"/>
        <w:rPr>
          <w:b/>
        </w:rPr>
      </w:pPr>
      <w:bookmarkStart w:id="0" w:name="_Toc61275338"/>
      <w:bookmarkStart w:id="1" w:name="_Toc105907880"/>
      <w:bookmarkStart w:id="2" w:name="_Toc106079190"/>
      <w:bookmarkStart w:id="3" w:name="_Toc106079515"/>
      <w:bookmarkStart w:id="4" w:name="_Toc106079784"/>
      <w:bookmarkStart w:id="5" w:name="_Toc107027560"/>
      <w:bookmarkStart w:id="6" w:name="_Toc107027770"/>
      <w:r w:rsidRPr="00033F16">
        <w:rPr>
          <w:b/>
        </w:rPr>
        <w:t>PURPOSE</w:t>
      </w:r>
      <w:bookmarkEnd w:id="0"/>
      <w:r w:rsidRPr="00033F16">
        <w:rPr>
          <w:b/>
        </w:rPr>
        <w:t xml:space="preserve"> </w:t>
      </w:r>
      <w:bookmarkEnd w:id="1"/>
      <w:bookmarkEnd w:id="2"/>
      <w:bookmarkEnd w:id="3"/>
      <w:bookmarkEnd w:id="4"/>
      <w:bookmarkEnd w:id="5"/>
      <w:bookmarkEnd w:id="6"/>
    </w:p>
    <w:p w14:paraId="035BBF79" w14:textId="77777777" w:rsidR="00FB7206" w:rsidRPr="00033F16" w:rsidRDefault="00FB7206" w:rsidP="00FB7206"/>
    <w:p w14:paraId="76EE155A" w14:textId="77777777" w:rsidR="00FD4CD9" w:rsidRPr="00033F16" w:rsidRDefault="00FD4CD9" w:rsidP="00FD4CD9">
      <w:pPr>
        <w:spacing w:before="120" w:after="120"/>
        <w:ind w:left="450"/>
        <w:jc w:val="both"/>
      </w:pPr>
      <w:r w:rsidRPr="00033F16">
        <w:t>The purpose of the Project is to establish a secure consolidated Bank-wide Data Warehouse with Supervisory Technology capabilities to facilitate efficient work processes, research activities, improve statistical information services, regulatory and supervisory activities as well as data management to support the achievement of price and financial system stability objective. The Data Warehouse with Supervisory Technology capabilities is expected to be the main repository, which will include the following features:</w:t>
      </w:r>
    </w:p>
    <w:p w14:paraId="26B60F37" w14:textId="77777777" w:rsidR="00FD4CD9" w:rsidRPr="00033F16" w:rsidRDefault="00FD4CD9" w:rsidP="00803F60">
      <w:pPr>
        <w:numPr>
          <w:ilvl w:val="0"/>
          <w:numId w:val="4"/>
        </w:numPr>
        <w:spacing w:before="120" w:after="120"/>
        <w:ind w:left="900" w:hanging="450"/>
        <w:jc w:val="both"/>
      </w:pPr>
      <w:r w:rsidRPr="00033F16">
        <w:t>Provide for the collection and capture of real-time granular data by all departments in the Bank from regulated institutions and other stakeholders by pulling data directly from the institutions’ systems using technologies such as Application Programming Interfaces (API), Web Services and/or proprietary technologies such as Automated Data Flow (ADF) technology. Whichever the technology choice, the Data Warehouse (DW) with Supervisory Technology (SupTech) capabilities will require a straight-through reporting process (STP) without any manual handling of data inflight. The Data Warehouse with Supervisory Technology capabilities implementation seeks to ultimately achieve a state of complete automation for submission of reports for institutions and other stakeholders from their core systems;</w:t>
      </w:r>
    </w:p>
    <w:p w14:paraId="31726BA7" w14:textId="77777777" w:rsidR="00FD4CD9" w:rsidRPr="00033F16" w:rsidRDefault="00FD4CD9" w:rsidP="00803F60">
      <w:pPr>
        <w:numPr>
          <w:ilvl w:val="0"/>
          <w:numId w:val="4"/>
        </w:numPr>
        <w:spacing w:before="120" w:after="120"/>
        <w:ind w:left="900" w:hanging="450"/>
        <w:jc w:val="both"/>
      </w:pPr>
      <w:r w:rsidRPr="00033F16">
        <w:t>Provide a full Electronic DW with SupTech capabilities solution to store both internal and external data at the BoZ;</w:t>
      </w:r>
    </w:p>
    <w:p w14:paraId="0D98A1C4" w14:textId="77777777" w:rsidR="00FD4CD9" w:rsidRPr="00033F16" w:rsidRDefault="00FD4CD9" w:rsidP="00803F60">
      <w:pPr>
        <w:numPr>
          <w:ilvl w:val="0"/>
          <w:numId w:val="4"/>
        </w:numPr>
        <w:spacing w:before="120" w:after="120"/>
        <w:ind w:left="900" w:hanging="450"/>
        <w:jc w:val="both"/>
      </w:pPr>
      <w:r w:rsidRPr="00033F16">
        <w:t>Provision of a module for on-site examination, licensing of regulated entities, and capturing of survey data for all the departments;</w:t>
      </w:r>
    </w:p>
    <w:p w14:paraId="3382833E" w14:textId="77777777" w:rsidR="00FD4CD9" w:rsidRPr="00033F16" w:rsidRDefault="00FD4CD9" w:rsidP="00803F60">
      <w:pPr>
        <w:numPr>
          <w:ilvl w:val="0"/>
          <w:numId w:val="4"/>
        </w:numPr>
        <w:spacing w:before="120" w:after="120"/>
        <w:ind w:left="900" w:hanging="450"/>
        <w:jc w:val="both"/>
      </w:pPr>
      <w:r w:rsidRPr="00033F16">
        <w:t>Provide advanced Business Intelligence (BI) and data analytical tools that enables reporting of granular data, and modelling and forecasting to meet the needs of different Departments at the BoZ. The analytical capabilities among others include market surveillance, misconduct detection, micro prudential, and macro prudential supervision;</w:t>
      </w:r>
    </w:p>
    <w:p w14:paraId="30F1AD5A" w14:textId="77777777" w:rsidR="00FD4CD9" w:rsidRPr="00033F16" w:rsidRDefault="00FD4CD9" w:rsidP="00803F60">
      <w:pPr>
        <w:numPr>
          <w:ilvl w:val="0"/>
          <w:numId w:val="4"/>
        </w:numPr>
        <w:spacing w:before="120" w:after="120"/>
        <w:ind w:left="900" w:hanging="450"/>
        <w:jc w:val="both"/>
      </w:pPr>
      <w:r w:rsidRPr="00033F16">
        <w:lastRenderedPageBreak/>
        <w:t xml:space="preserve">Provide Machine Learning capabilities for repeatable process, Business Intelligence and Drag ‘n Drop Data Visualisation; </w:t>
      </w:r>
    </w:p>
    <w:p w14:paraId="429428A4" w14:textId="77777777" w:rsidR="00FD4CD9" w:rsidRPr="00033F16" w:rsidRDefault="00FD4CD9" w:rsidP="00803F60">
      <w:pPr>
        <w:numPr>
          <w:ilvl w:val="0"/>
          <w:numId w:val="4"/>
        </w:numPr>
        <w:spacing w:before="120" w:after="120"/>
        <w:ind w:left="900" w:hanging="450"/>
        <w:jc w:val="both"/>
      </w:pPr>
      <w:r w:rsidRPr="00033F16">
        <w:t>Provide a full relational database design for the enterprise business, full integration to a relational database design and develop a data migration strategy;</w:t>
      </w:r>
    </w:p>
    <w:p w14:paraId="48E7F857" w14:textId="77777777" w:rsidR="00FD4CD9" w:rsidRPr="00033F16" w:rsidRDefault="00FD4CD9" w:rsidP="00803F60">
      <w:pPr>
        <w:numPr>
          <w:ilvl w:val="0"/>
          <w:numId w:val="4"/>
        </w:numPr>
        <w:spacing w:before="120"/>
        <w:ind w:left="896" w:hanging="446"/>
        <w:jc w:val="both"/>
      </w:pPr>
      <w:r w:rsidRPr="00033F16">
        <w:t>Develop a Data Management Strategy across the enterprise;</w:t>
      </w:r>
    </w:p>
    <w:p w14:paraId="062EF681" w14:textId="77777777" w:rsidR="00FD4CD9" w:rsidRPr="00033F16" w:rsidRDefault="00FD4CD9" w:rsidP="00803F60">
      <w:pPr>
        <w:numPr>
          <w:ilvl w:val="0"/>
          <w:numId w:val="4"/>
        </w:numPr>
        <w:spacing w:before="120"/>
        <w:ind w:left="896" w:hanging="446"/>
        <w:jc w:val="both"/>
      </w:pPr>
      <w:r w:rsidRPr="00033F16">
        <w:t>Provide a tool and strategy for Data quality management, data validation and verification to ensure that the data submitted by reporting institutions is complete, accurate and up-to-date;</w:t>
      </w:r>
    </w:p>
    <w:p w14:paraId="52B35E9F" w14:textId="77777777" w:rsidR="00FD4CD9" w:rsidRPr="00033F16" w:rsidRDefault="00FD4CD9" w:rsidP="00803F60">
      <w:pPr>
        <w:numPr>
          <w:ilvl w:val="0"/>
          <w:numId w:val="4"/>
        </w:numPr>
        <w:spacing w:before="120" w:after="120"/>
        <w:ind w:left="900" w:hanging="450"/>
        <w:jc w:val="both"/>
      </w:pPr>
      <w:r w:rsidRPr="00033F16">
        <w:t>Provide encryption capabilities to secure the data both, in flight and at rest, from third party manipulation;</w:t>
      </w:r>
    </w:p>
    <w:p w14:paraId="4641D699" w14:textId="77777777" w:rsidR="00FD4CD9" w:rsidRPr="00033F16" w:rsidRDefault="00FD4CD9" w:rsidP="00803F60">
      <w:pPr>
        <w:numPr>
          <w:ilvl w:val="0"/>
          <w:numId w:val="4"/>
        </w:numPr>
        <w:spacing w:before="120" w:after="120"/>
        <w:ind w:left="900" w:hanging="450"/>
        <w:jc w:val="both"/>
      </w:pPr>
      <w:r w:rsidRPr="00033F16">
        <w:t>Ability to integrate with current systems and data sources;</w:t>
      </w:r>
    </w:p>
    <w:p w14:paraId="66D28771" w14:textId="77777777" w:rsidR="00FD4CD9" w:rsidRPr="00033F16" w:rsidRDefault="00FD4CD9" w:rsidP="00803F60">
      <w:pPr>
        <w:numPr>
          <w:ilvl w:val="0"/>
          <w:numId w:val="4"/>
        </w:numPr>
        <w:spacing w:before="120" w:after="120"/>
        <w:ind w:left="900" w:hanging="450"/>
        <w:jc w:val="both"/>
      </w:pPr>
      <w:r w:rsidRPr="00033F16">
        <w:t xml:space="preserve">Provide multiple access controls that allow classification of data and visualizations for access by different user groups both for internal and external stakeholders; </w:t>
      </w:r>
    </w:p>
    <w:p w14:paraId="35A2EE6A" w14:textId="77777777" w:rsidR="00FD4CD9" w:rsidRPr="00033F16" w:rsidRDefault="00FD4CD9" w:rsidP="00803F60">
      <w:pPr>
        <w:numPr>
          <w:ilvl w:val="0"/>
          <w:numId w:val="4"/>
        </w:numPr>
        <w:spacing w:before="120" w:after="120"/>
        <w:ind w:left="900" w:hanging="450"/>
        <w:jc w:val="both"/>
        <w:rPr>
          <w:szCs w:val="20"/>
        </w:rPr>
      </w:pPr>
      <w:r w:rsidRPr="00033F16">
        <w:t>Provide a w</w:t>
      </w:r>
      <w:r w:rsidRPr="00033F16">
        <w:rPr>
          <w:szCs w:val="20"/>
        </w:rPr>
        <w:t>eb-based interface system which is compatible with any web browser;</w:t>
      </w:r>
    </w:p>
    <w:p w14:paraId="46A135B8" w14:textId="77777777" w:rsidR="00FD4CD9" w:rsidRPr="00033F16" w:rsidRDefault="00FD4CD9" w:rsidP="00803F60">
      <w:pPr>
        <w:numPr>
          <w:ilvl w:val="0"/>
          <w:numId w:val="4"/>
        </w:numPr>
        <w:spacing w:before="120" w:after="120"/>
        <w:ind w:left="900" w:hanging="450"/>
        <w:jc w:val="both"/>
        <w:rPr>
          <w:szCs w:val="20"/>
        </w:rPr>
      </w:pPr>
      <w:r w:rsidRPr="00033F16">
        <w:rPr>
          <w:szCs w:val="20"/>
        </w:rPr>
        <w:t xml:space="preserve">Provide desired reports and dashboards in any format to conduct a wide range of analysis; </w:t>
      </w:r>
    </w:p>
    <w:p w14:paraId="3196AC2F" w14:textId="77777777" w:rsidR="00FD4CD9" w:rsidRPr="00033F16" w:rsidRDefault="00FD4CD9" w:rsidP="00803F60">
      <w:pPr>
        <w:numPr>
          <w:ilvl w:val="0"/>
          <w:numId w:val="4"/>
        </w:numPr>
        <w:spacing w:before="120" w:after="120"/>
        <w:ind w:left="900" w:hanging="450"/>
        <w:jc w:val="both"/>
        <w:rPr>
          <w:szCs w:val="20"/>
        </w:rPr>
      </w:pPr>
      <w:r w:rsidRPr="00033F16">
        <w:rPr>
          <w:szCs w:val="20"/>
        </w:rPr>
        <w:t>Usage of Artificial Intelligence to analyse collected data;</w:t>
      </w:r>
    </w:p>
    <w:p w14:paraId="7C5866D4" w14:textId="77777777" w:rsidR="00FD4CD9" w:rsidRPr="00033F16" w:rsidRDefault="00FD4CD9" w:rsidP="00803F60">
      <w:pPr>
        <w:numPr>
          <w:ilvl w:val="0"/>
          <w:numId w:val="4"/>
        </w:numPr>
        <w:spacing w:before="120" w:after="120"/>
        <w:ind w:left="900" w:hanging="450"/>
        <w:jc w:val="both"/>
        <w:rPr>
          <w:szCs w:val="20"/>
        </w:rPr>
      </w:pPr>
      <w:r w:rsidRPr="00033F16">
        <w:rPr>
          <w:szCs w:val="20"/>
        </w:rPr>
        <w:t xml:space="preserve">Provide advanced data analytical tools and enable reporting of granular data to meet the needs of different Departments in the Bank; </w:t>
      </w:r>
    </w:p>
    <w:p w14:paraId="666DD876" w14:textId="77777777" w:rsidR="00FD4CD9" w:rsidRPr="00033F16" w:rsidRDefault="00FD4CD9" w:rsidP="00803F60">
      <w:pPr>
        <w:numPr>
          <w:ilvl w:val="0"/>
          <w:numId w:val="4"/>
        </w:numPr>
        <w:spacing w:before="120" w:after="120"/>
        <w:ind w:left="900" w:hanging="450"/>
        <w:jc w:val="both"/>
        <w:rPr>
          <w:szCs w:val="20"/>
        </w:rPr>
      </w:pPr>
      <w:r w:rsidRPr="00033F16">
        <w:rPr>
          <w:szCs w:val="20"/>
        </w:rPr>
        <w:t xml:space="preserve">Collect survey data using an advanced survey tool that provides for the design and administration of surveys for data collected from selected respondents; </w:t>
      </w:r>
    </w:p>
    <w:p w14:paraId="1F16140A" w14:textId="77777777" w:rsidR="00FD4CD9" w:rsidRPr="00033F16" w:rsidRDefault="00FD4CD9" w:rsidP="00803F60">
      <w:pPr>
        <w:numPr>
          <w:ilvl w:val="0"/>
          <w:numId w:val="4"/>
        </w:numPr>
        <w:spacing w:before="120" w:after="120"/>
        <w:ind w:left="900" w:hanging="450"/>
        <w:jc w:val="both"/>
        <w:rPr>
          <w:szCs w:val="20"/>
        </w:rPr>
      </w:pPr>
      <w:r w:rsidRPr="00033F16">
        <w:rPr>
          <w:szCs w:val="20"/>
        </w:rPr>
        <w:t>Provide for presentation of DW data on multiple devices and through APIs; and</w:t>
      </w:r>
    </w:p>
    <w:p w14:paraId="2D0B9010" w14:textId="77777777" w:rsidR="00FD4CD9" w:rsidRPr="00033F16" w:rsidRDefault="00FD4CD9" w:rsidP="00803F60">
      <w:pPr>
        <w:numPr>
          <w:ilvl w:val="0"/>
          <w:numId w:val="4"/>
        </w:numPr>
        <w:spacing w:before="120" w:after="120"/>
        <w:ind w:left="900" w:hanging="450"/>
        <w:jc w:val="both"/>
        <w:rPr>
          <w:szCs w:val="20"/>
        </w:rPr>
      </w:pPr>
      <w:r w:rsidRPr="00033F16">
        <w:rPr>
          <w:szCs w:val="20"/>
        </w:rPr>
        <w:t xml:space="preserve">Any other relevant DW and SupTech features in line with best practices. </w:t>
      </w:r>
    </w:p>
    <w:p w14:paraId="39F1E57A" w14:textId="77777777" w:rsidR="0004643F" w:rsidRPr="00033F16" w:rsidRDefault="0004643F" w:rsidP="003B17E9">
      <w:pPr>
        <w:pStyle w:val="ListParagraph"/>
        <w:ind w:left="810"/>
        <w:jc w:val="both"/>
      </w:pPr>
    </w:p>
    <w:p w14:paraId="0FFD4CB8" w14:textId="77777777" w:rsidR="0004643F" w:rsidRPr="00033F16" w:rsidRDefault="0004643F" w:rsidP="003B17E9">
      <w:pPr>
        <w:pStyle w:val="ListParagraph"/>
        <w:ind w:left="810"/>
        <w:jc w:val="both"/>
      </w:pPr>
    </w:p>
    <w:p w14:paraId="0374E8B1" w14:textId="77777777" w:rsidR="003B17E9" w:rsidRPr="00033F16" w:rsidRDefault="003D40C6" w:rsidP="00803F60">
      <w:pPr>
        <w:pStyle w:val="BankNormal"/>
        <w:numPr>
          <w:ilvl w:val="0"/>
          <w:numId w:val="1"/>
        </w:numPr>
        <w:spacing w:after="0"/>
        <w:ind w:left="540"/>
        <w:jc w:val="both"/>
        <w:rPr>
          <w:rFonts w:eastAsiaTheme="minorHAnsi"/>
          <w:b/>
        </w:rPr>
      </w:pPr>
      <w:r w:rsidRPr="00033F16">
        <w:rPr>
          <w:rFonts w:eastAsiaTheme="minorHAnsi"/>
          <w:b/>
        </w:rPr>
        <w:t>EXPECTED DELIVERABLES</w:t>
      </w:r>
    </w:p>
    <w:p w14:paraId="370F8A78" w14:textId="77777777" w:rsidR="00F2313F" w:rsidRPr="00033F16" w:rsidRDefault="00F2313F" w:rsidP="00F2313F">
      <w:pPr>
        <w:autoSpaceDE w:val="0"/>
        <w:autoSpaceDN w:val="0"/>
        <w:adjustRightInd w:val="0"/>
        <w:ind w:left="540"/>
        <w:jc w:val="both"/>
        <w:rPr>
          <w:lang w:eastAsia="x-none"/>
        </w:rPr>
      </w:pPr>
    </w:p>
    <w:p w14:paraId="1E80E4EB" w14:textId="77777777" w:rsidR="00FD4CD9" w:rsidRPr="00033F16" w:rsidRDefault="00FD4CD9" w:rsidP="00FD4CD9">
      <w:pPr>
        <w:spacing w:before="120" w:after="120"/>
        <w:ind w:left="540"/>
        <w:jc w:val="both"/>
      </w:pPr>
      <w:r w:rsidRPr="00033F16">
        <w:t xml:space="preserve">The consultant shall provide the following deliverables: </w:t>
      </w:r>
    </w:p>
    <w:p w14:paraId="51DAD6F9" w14:textId="77777777" w:rsidR="00FD4CD9" w:rsidRPr="00033F16" w:rsidRDefault="00FD4CD9" w:rsidP="00803F60">
      <w:pPr>
        <w:numPr>
          <w:ilvl w:val="0"/>
          <w:numId w:val="8"/>
        </w:numPr>
        <w:spacing w:before="120" w:after="120"/>
        <w:ind w:left="990" w:hanging="450"/>
        <w:jc w:val="both"/>
        <w:rPr>
          <w:szCs w:val="20"/>
        </w:rPr>
      </w:pPr>
      <w:r w:rsidRPr="00033F16">
        <w:rPr>
          <w:szCs w:val="20"/>
        </w:rPr>
        <w:t>Report detailing the steps to be taken to prepare the Bank for the introduction of the DW with SupTech capabilities. The report should address knowledge transfer mechanism to ensure the Bank takes ownership of the data solution after the system is operational;</w:t>
      </w:r>
    </w:p>
    <w:p w14:paraId="5375F2DC" w14:textId="77777777" w:rsidR="00FD4CD9" w:rsidRPr="00033F16" w:rsidRDefault="00FD4CD9" w:rsidP="00803F60">
      <w:pPr>
        <w:numPr>
          <w:ilvl w:val="0"/>
          <w:numId w:val="8"/>
        </w:numPr>
        <w:spacing w:before="120" w:after="120"/>
        <w:ind w:left="990" w:hanging="450"/>
        <w:jc w:val="both"/>
        <w:rPr>
          <w:szCs w:val="20"/>
        </w:rPr>
      </w:pPr>
      <w:r w:rsidRPr="00033F16">
        <w:rPr>
          <w:szCs w:val="20"/>
        </w:rPr>
        <w:t>Manual on standard data format, data dictionary and data exchange mechanisms between data providers/consumers and the Bank;</w:t>
      </w:r>
    </w:p>
    <w:p w14:paraId="6EF2CB0B" w14:textId="77777777" w:rsidR="00FD4CD9" w:rsidRPr="00033F16" w:rsidRDefault="00FD4CD9" w:rsidP="00803F60">
      <w:pPr>
        <w:numPr>
          <w:ilvl w:val="0"/>
          <w:numId w:val="8"/>
        </w:numPr>
        <w:spacing w:before="120" w:after="120"/>
        <w:ind w:left="990" w:hanging="450"/>
        <w:jc w:val="both"/>
        <w:rPr>
          <w:szCs w:val="20"/>
        </w:rPr>
      </w:pPr>
      <w:r w:rsidRPr="00033F16">
        <w:rPr>
          <w:szCs w:val="20"/>
        </w:rPr>
        <w:t>Data Management, Standards, Protocols and Policies;</w:t>
      </w:r>
    </w:p>
    <w:p w14:paraId="73645F20" w14:textId="77777777" w:rsidR="00FD4CD9" w:rsidRPr="00033F16" w:rsidRDefault="00FD4CD9" w:rsidP="00803F60">
      <w:pPr>
        <w:numPr>
          <w:ilvl w:val="0"/>
          <w:numId w:val="8"/>
        </w:numPr>
        <w:spacing w:before="120" w:after="120"/>
        <w:ind w:left="990" w:hanging="450"/>
        <w:jc w:val="both"/>
        <w:rPr>
          <w:szCs w:val="20"/>
        </w:rPr>
      </w:pPr>
      <w:r w:rsidRPr="00033F16">
        <w:rPr>
          <w:szCs w:val="20"/>
        </w:rPr>
        <w:t>Develop a capacity building strategy;</w:t>
      </w:r>
    </w:p>
    <w:p w14:paraId="6CA251D2" w14:textId="77777777" w:rsidR="00FD4CD9" w:rsidRPr="00033F16" w:rsidRDefault="00FD4CD9" w:rsidP="00803F60">
      <w:pPr>
        <w:numPr>
          <w:ilvl w:val="0"/>
          <w:numId w:val="8"/>
        </w:numPr>
        <w:spacing w:before="120" w:after="120"/>
        <w:ind w:left="990" w:hanging="450"/>
        <w:jc w:val="both"/>
        <w:rPr>
          <w:szCs w:val="20"/>
        </w:rPr>
      </w:pPr>
      <w:r w:rsidRPr="00033F16">
        <w:rPr>
          <w:szCs w:val="20"/>
        </w:rPr>
        <w:t xml:space="preserve">Develop a Request for Proposal for the engagement of a solution vendor for the DW with SupTech capabilities; </w:t>
      </w:r>
    </w:p>
    <w:p w14:paraId="2A29E797" w14:textId="77777777" w:rsidR="00FD4CD9" w:rsidRPr="00033F16" w:rsidRDefault="00FD4CD9" w:rsidP="00803F60">
      <w:pPr>
        <w:numPr>
          <w:ilvl w:val="0"/>
          <w:numId w:val="8"/>
        </w:numPr>
        <w:spacing w:before="120" w:after="120"/>
        <w:ind w:left="990" w:hanging="450"/>
        <w:jc w:val="both"/>
        <w:rPr>
          <w:szCs w:val="20"/>
        </w:rPr>
      </w:pPr>
      <w:r w:rsidRPr="00033F16">
        <w:rPr>
          <w:szCs w:val="20"/>
        </w:rPr>
        <w:t>Prepare two detailed quality assurance reports on the audit done during the implementation of the project by the vendor; and</w:t>
      </w:r>
    </w:p>
    <w:p w14:paraId="3D248211" w14:textId="16954D01" w:rsidR="00F31BCD" w:rsidRPr="00033F16" w:rsidRDefault="00FD4CD9" w:rsidP="00803F60">
      <w:pPr>
        <w:numPr>
          <w:ilvl w:val="0"/>
          <w:numId w:val="8"/>
        </w:numPr>
        <w:spacing w:before="120" w:after="120"/>
        <w:ind w:left="990" w:hanging="450"/>
        <w:jc w:val="both"/>
      </w:pPr>
      <w:r w:rsidRPr="00033F16">
        <w:rPr>
          <w:szCs w:val="20"/>
        </w:rPr>
        <w:lastRenderedPageBreak/>
        <w:t>Post implementation review report on the installed DW</w:t>
      </w:r>
      <w:r w:rsidRPr="00033F16">
        <w:t xml:space="preserve"> </w:t>
      </w:r>
      <w:r w:rsidRPr="00033F16">
        <w:rPr>
          <w:szCs w:val="20"/>
        </w:rPr>
        <w:t>with SupTech capabilities solution.</w:t>
      </w:r>
    </w:p>
    <w:p w14:paraId="3C9E9F0B" w14:textId="48B0E215" w:rsidR="007F794A" w:rsidRPr="00033F16" w:rsidRDefault="007F794A" w:rsidP="00F31BCD">
      <w:pPr>
        <w:pStyle w:val="ListParagraph"/>
        <w:ind w:left="1530"/>
        <w:jc w:val="both"/>
      </w:pPr>
    </w:p>
    <w:p w14:paraId="44DE1340" w14:textId="77777777" w:rsidR="00FD4CD9" w:rsidRPr="00033F16" w:rsidRDefault="00FD4CD9" w:rsidP="00F31BCD">
      <w:pPr>
        <w:pStyle w:val="ListParagraph"/>
        <w:ind w:left="1530"/>
        <w:jc w:val="both"/>
      </w:pPr>
    </w:p>
    <w:p w14:paraId="2C482CCF" w14:textId="77777777" w:rsidR="007F794A" w:rsidRPr="00033F16" w:rsidRDefault="007F794A" w:rsidP="00803F60">
      <w:pPr>
        <w:pStyle w:val="BankNormal"/>
        <w:numPr>
          <w:ilvl w:val="0"/>
          <w:numId w:val="1"/>
        </w:numPr>
        <w:spacing w:after="0"/>
        <w:ind w:left="540"/>
        <w:jc w:val="both"/>
        <w:rPr>
          <w:rFonts w:eastAsiaTheme="minorHAnsi"/>
          <w:b/>
        </w:rPr>
      </w:pPr>
      <w:r w:rsidRPr="00033F16">
        <w:rPr>
          <w:rFonts w:eastAsiaTheme="minorHAnsi"/>
          <w:b/>
        </w:rPr>
        <w:t xml:space="preserve">ELIGIBITY QUALIFICATION </w:t>
      </w:r>
    </w:p>
    <w:p w14:paraId="67EBC36F" w14:textId="77777777" w:rsidR="007F794A" w:rsidRPr="00033F16" w:rsidRDefault="007F794A" w:rsidP="007F794A">
      <w:pPr>
        <w:pStyle w:val="BankNormal"/>
        <w:spacing w:after="0"/>
        <w:ind w:left="540"/>
        <w:jc w:val="both"/>
        <w:rPr>
          <w:rFonts w:eastAsiaTheme="minorHAnsi"/>
          <w:b/>
        </w:rPr>
      </w:pPr>
    </w:p>
    <w:p w14:paraId="5AB5690A" w14:textId="560D4889" w:rsidR="007F794A" w:rsidRPr="00033F16" w:rsidRDefault="000B09E4" w:rsidP="007F794A">
      <w:pPr>
        <w:pStyle w:val="BankNormal"/>
        <w:spacing w:after="0"/>
        <w:ind w:left="540"/>
        <w:jc w:val="both"/>
        <w:rPr>
          <w:rFonts w:eastAsiaTheme="minorHAnsi"/>
          <w:b/>
        </w:rPr>
      </w:pPr>
      <w:r w:rsidRPr="00033F16">
        <w:rPr>
          <w:rFonts w:eastAsiaTheme="minorHAnsi"/>
          <w:b/>
        </w:rPr>
        <w:t xml:space="preserve">Applicants should provide the following </w:t>
      </w:r>
      <w:r w:rsidR="008F536A" w:rsidRPr="00033F16">
        <w:rPr>
          <w:rFonts w:eastAsiaTheme="minorHAnsi"/>
          <w:b/>
        </w:rPr>
        <w:t>information:</w:t>
      </w:r>
    </w:p>
    <w:p w14:paraId="7C8B9E2A" w14:textId="77777777" w:rsidR="007F794A" w:rsidRPr="00033F16" w:rsidRDefault="007F794A" w:rsidP="007F794A">
      <w:pPr>
        <w:pStyle w:val="BankNormal"/>
        <w:spacing w:after="0"/>
        <w:ind w:left="540"/>
        <w:jc w:val="both"/>
        <w:rPr>
          <w:rFonts w:eastAsiaTheme="minorHAnsi"/>
          <w:b/>
        </w:rPr>
      </w:pPr>
    </w:p>
    <w:p w14:paraId="133FA2ED" w14:textId="20DAAFCC" w:rsidR="007F794A" w:rsidRPr="00033F16" w:rsidRDefault="007F794A" w:rsidP="00803F60">
      <w:pPr>
        <w:pStyle w:val="BankNormal"/>
        <w:numPr>
          <w:ilvl w:val="0"/>
          <w:numId w:val="6"/>
        </w:numPr>
        <w:jc w:val="both"/>
        <w:rPr>
          <w:rFonts w:eastAsiaTheme="minorHAnsi"/>
          <w:b/>
        </w:rPr>
      </w:pPr>
      <w:r w:rsidRPr="00033F16">
        <w:rPr>
          <w:rFonts w:eastAsia="Times"/>
          <w:szCs w:val="24"/>
        </w:rPr>
        <w:t>State Company Name</w:t>
      </w:r>
      <w:r w:rsidR="000D6144" w:rsidRPr="00033F16">
        <w:rPr>
          <w:rFonts w:eastAsia="Times"/>
          <w:szCs w:val="24"/>
        </w:rPr>
        <w:t xml:space="preserve"> or joint venture name were applicable</w:t>
      </w:r>
    </w:p>
    <w:p w14:paraId="33C38576" w14:textId="78B1104F" w:rsidR="007F794A" w:rsidRPr="00033F16" w:rsidRDefault="007F794A" w:rsidP="00803F60">
      <w:pPr>
        <w:pStyle w:val="BankNormal"/>
        <w:numPr>
          <w:ilvl w:val="0"/>
          <w:numId w:val="6"/>
        </w:numPr>
        <w:jc w:val="both"/>
        <w:rPr>
          <w:rFonts w:eastAsiaTheme="minorHAnsi"/>
          <w:b/>
        </w:rPr>
      </w:pPr>
      <w:r w:rsidRPr="00033F16">
        <w:rPr>
          <w:rFonts w:eastAsia="Times"/>
          <w:szCs w:val="24"/>
        </w:rPr>
        <w:t>State the principal place of business</w:t>
      </w:r>
      <w:r w:rsidR="00750C3A" w:rsidRPr="00033F16">
        <w:rPr>
          <w:rFonts w:eastAsia="Times"/>
          <w:szCs w:val="24"/>
        </w:rPr>
        <w:t xml:space="preserve"> </w:t>
      </w:r>
      <w:r w:rsidR="000D6144" w:rsidRPr="00033F16">
        <w:rPr>
          <w:rFonts w:eastAsia="Times"/>
          <w:szCs w:val="24"/>
        </w:rPr>
        <w:t xml:space="preserve"> </w:t>
      </w:r>
    </w:p>
    <w:p w14:paraId="6EE3C4A6" w14:textId="77777777" w:rsidR="007F794A" w:rsidRPr="00033F16" w:rsidRDefault="007F794A" w:rsidP="00803F60">
      <w:pPr>
        <w:pStyle w:val="BankNormal"/>
        <w:numPr>
          <w:ilvl w:val="0"/>
          <w:numId w:val="6"/>
        </w:numPr>
        <w:jc w:val="both"/>
        <w:rPr>
          <w:rFonts w:eastAsiaTheme="minorHAnsi"/>
          <w:b/>
        </w:rPr>
      </w:pPr>
      <w:r w:rsidRPr="00033F16">
        <w:rPr>
          <w:rFonts w:eastAsia="Times"/>
          <w:szCs w:val="24"/>
        </w:rPr>
        <w:t>Applicant’s legal status. Copy of Certificate of Incorporation or registration</w:t>
      </w:r>
    </w:p>
    <w:p w14:paraId="0A35E1CA" w14:textId="77777777" w:rsidR="007F794A" w:rsidRPr="00033F16" w:rsidRDefault="007F794A" w:rsidP="00803F60">
      <w:pPr>
        <w:pStyle w:val="BankNormal"/>
        <w:numPr>
          <w:ilvl w:val="0"/>
          <w:numId w:val="6"/>
        </w:numPr>
        <w:jc w:val="both"/>
        <w:rPr>
          <w:rFonts w:eastAsiaTheme="minorHAnsi"/>
          <w:b/>
        </w:rPr>
      </w:pPr>
      <w:r w:rsidRPr="00033F16">
        <w:rPr>
          <w:rFonts w:eastAsia="Times"/>
          <w:szCs w:val="24"/>
        </w:rPr>
        <w:t>State Joint Venture Summary detailing Joint Ventures arrangement if any</w:t>
      </w:r>
    </w:p>
    <w:p w14:paraId="71D3B19D" w14:textId="1A858400" w:rsidR="00FA3758" w:rsidRPr="00033F16" w:rsidRDefault="000D6144" w:rsidP="00803F60">
      <w:pPr>
        <w:pStyle w:val="BankNormal"/>
        <w:numPr>
          <w:ilvl w:val="0"/>
          <w:numId w:val="6"/>
        </w:numPr>
        <w:jc w:val="both"/>
        <w:rPr>
          <w:rFonts w:eastAsiaTheme="minorHAnsi"/>
          <w:b/>
        </w:rPr>
      </w:pPr>
      <w:r w:rsidRPr="00033F16">
        <w:rPr>
          <w:rFonts w:eastAsia="Times"/>
          <w:szCs w:val="24"/>
        </w:rPr>
        <w:t>If a joint venture applicant to provide the following i</w:t>
      </w:r>
      <w:r w:rsidR="007F794A" w:rsidRPr="00033F16">
        <w:rPr>
          <w:rFonts w:eastAsia="Times"/>
          <w:szCs w:val="24"/>
        </w:rPr>
        <w:t>nformation</w:t>
      </w:r>
      <w:r w:rsidR="00750C3A" w:rsidRPr="00033F16">
        <w:rPr>
          <w:rFonts w:eastAsia="Times"/>
          <w:szCs w:val="24"/>
        </w:rPr>
        <w:t xml:space="preserve"> for each partner</w:t>
      </w:r>
      <w:r w:rsidR="007F794A" w:rsidRPr="00033F16">
        <w:rPr>
          <w:rFonts w:eastAsia="Times"/>
          <w:szCs w:val="24"/>
        </w:rPr>
        <w:t xml:space="preserve">: </w:t>
      </w:r>
    </w:p>
    <w:p w14:paraId="70A9A1B0" w14:textId="34A28DB8" w:rsidR="00FA3758" w:rsidRPr="00033F16" w:rsidRDefault="007F794A" w:rsidP="00803F60">
      <w:pPr>
        <w:pStyle w:val="BankNormal"/>
        <w:numPr>
          <w:ilvl w:val="0"/>
          <w:numId w:val="12"/>
        </w:numPr>
        <w:jc w:val="both"/>
        <w:rPr>
          <w:rFonts w:eastAsia="Times"/>
          <w:szCs w:val="24"/>
        </w:rPr>
      </w:pPr>
      <w:r w:rsidRPr="00033F16">
        <w:rPr>
          <w:rFonts w:eastAsia="Times"/>
          <w:szCs w:val="24"/>
        </w:rPr>
        <w:t>Applicant’s legal status (Certificate of Incorporation),</w:t>
      </w:r>
    </w:p>
    <w:p w14:paraId="5023BB07" w14:textId="43FDD2CA" w:rsidR="007F794A" w:rsidRPr="00033F16" w:rsidRDefault="007F794A" w:rsidP="00803F60">
      <w:pPr>
        <w:pStyle w:val="BankNormal"/>
        <w:numPr>
          <w:ilvl w:val="0"/>
          <w:numId w:val="12"/>
        </w:numPr>
        <w:jc w:val="both"/>
        <w:rPr>
          <w:rFonts w:eastAsiaTheme="minorHAnsi"/>
        </w:rPr>
      </w:pPr>
      <w:r w:rsidRPr="00033F16">
        <w:rPr>
          <w:rFonts w:eastAsia="Times"/>
          <w:szCs w:val="24"/>
        </w:rPr>
        <w:t>State the principal place of business and the place of incorporation (for applicants who are corporations), or the place of registration and the nationality of the owners (for applicants who are partnerships or individually-owned firms,</w:t>
      </w:r>
    </w:p>
    <w:p w14:paraId="05CAE1AD" w14:textId="77777777" w:rsidR="007F794A" w:rsidRPr="00033F16" w:rsidRDefault="007F794A" w:rsidP="00FA3758">
      <w:pPr>
        <w:pStyle w:val="ListParagraph"/>
        <w:ind w:left="1440"/>
        <w:jc w:val="both"/>
        <w:rPr>
          <w:rFonts w:eastAsia="Times"/>
        </w:rPr>
      </w:pPr>
      <w:r w:rsidRPr="00033F16">
        <w:rPr>
          <w:rFonts w:eastAsia="Times"/>
        </w:rPr>
        <w:t>Joint Venture Agreement. Attach the Joint Venture Agreement among all partners of the joint venture (and which is legally binding on all partners), which shows that (a) all partners shall be jointly and severally liable for the execution of the Contract in accordance with the Contract terms; (b) one of the partners will be nominated as being in charge, authorized to incur liabilities, and receive instructions for and on behalf of any and all partners of the joint venture; and (c) the execution of the entire Contract, including payment, shall be done exclusively with the partner in charge</w:t>
      </w:r>
    </w:p>
    <w:p w14:paraId="44FA9A1A" w14:textId="5727438F" w:rsidR="003B17E9" w:rsidRPr="00033F16" w:rsidRDefault="003B17E9" w:rsidP="003B17E9">
      <w:pPr>
        <w:pStyle w:val="ListParagraph"/>
        <w:autoSpaceDE w:val="0"/>
        <w:autoSpaceDN w:val="0"/>
        <w:adjustRightInd w:val="0"/>
        <w:ind w:left="0"/>
        <w:jc w:val="both"/>
        <w:rPr>
          <w:rFonts w:eastAsiaTheme="minorHAnsi"/>
          <w:b/>
        </w:rPr>
      </w:pPr>
    </w:p>
    <w:p w14:paraId="1857A05D" w14:textId="77777777" w:rsidR="00A630B8" w:rsidRPr="00033F16" w:rsidRDefault="00A630B8" w:rsidP="003B17E9">
      <w:pPr>
        <w:pStyle w:val="ListParagraph"/>
        <w:autoSpaceDE w:val="0"/>
        <w:autoSpaceDN w:val="0"/>
        <w:adjustRightInd w:val="0"/>
        <w:ind w:left="0"/>
        <w:jc w:val="both"/>
        <w:rPr>
          <w:rFonts w:eastAsiaTheme="minorHAnsi"/>
          <w:b/>
        </w:rPr>
      </w:pPr>
    </w:p>
    <w:p w14:paraId="5CF6BCE6" w14:textId="77777777" w:rsidR="003B17E9" w:rsidRPr="00033F16" w:rsidRDefault="003B17E9" w:rsidP="00803F60">
      <w:pPr>
        <w:pStyle w:val="BankNormal"/>
        <w:numPr>
          <w:ilvl w:val="1"/>
          <w:numId w:val="1"/>
        </w:numPr>
        <w:spacing w:after="0"/>
        <w:jc w:val="both"/>
        <w:rPr>
          <w:b/>
        </w:rPr>
      </w:pPr>
      <w:r w:rsidRPr="00033F16">
        <w:rPr>
          <w:b/>
        </w:rPr>
        <w:t>Relevant experience of the firm that best fit with proposed assignment</w:t>
      </w:r>
    </w:p>
    <w:p w14:paraId="00B99B26" w14:textId="77777777" w:rsidR="003B17E9" w:rsidRPr="00033F16" w:rsidRDefault="003B17E9" w:rsidP="003B17E9">
      <w:pPr>
        <w:jc w:val="both"/>
        <w:rPr>
          <w:b/>
        </w:rPr>
      </w:pPr>
    </w:p>
    <w:p w14:paraId="6B81C13E" w14:textId="77777777" w:rsidR="003B17E9" w:rsidRPr="00033F16" w:rsidRDefault="003B17E9" w:rsidP="003B17E9">
      <w:pPr>
        <w:ind w:left="1080"/>
        <w:jc w:val="both"/>
      </w:pPr>
      <w:r w:rsidRPr="00033F16">
        <w:t xml:space="preserve">Core area of expertise of the firm </w:t>
      </w:r>
      <w:r w:rsidR="00BD786A" w:rsidRPr="00033F16">
        <w:t xml:space="preserve">that fit with proposed assignment </w:t>
      </w:r>
      <w:r w:rsidRPr="00033F16">
        <w:t>must be described.</w:t>
      </w:r>
    </w:p>
    <w:p w14:paraId="7011DC1A" w14:textId="25FA4AA0" w:rsidR="003B17E9" w:rsidRPr="00033F16" w:rsidRDefault="00033F16" w:rsidP="00033F16">
      <w:pPr>
        <w:ind w:left="1080"/>
        <w:jc w:val="both"/>
      </w:pPr>
      <w:r>
        <w:t xml:space="preserve">Applicant to provide </w:t>
      </w:r>
      <w:r w:rsidR="003B17E9" w:rsidRPr="00033F16">
        <w:t xml:space="preserve">list </w:t>
      </w:r>
      <w:r w:rsidR="00F37E29">
        <w:t xml:space="preserve">of </w:t>
      </w:r>
      <w:r w:rsidR="003B17E9" w:rsidRPr="00033F16">
        <w:t xml:space="preserve">relevant experience related to this assignment </w:t>
      </w:r>
      <w:r w:rsidR="00EF413E" w:rsidRPr="00033F16">
        <w:t xml:space="preserve">conducted </w:t>
      </w:r>
      <w:r w:rsidR="003B17E9" w:rsidRPr="00033F16">
        <w:t>during the last five years</w:t>
      </w:r>
      <w:r w:rsidR="00EF413E" w:rsidRPr="00033F16">
        <w:t xml:space="preserve">. </w:t>
      </w:r>
      <w:r w:rsidR="003B17E9" w:rsidRPr="00033F16">
        <w:t xml:space="preserve"> Summary of similar assignments executed successfully in the immediate past </w:t>
      </w:r>
      <w:r w:rsidR="00EF413E" w:rsidRPr="00033F16">
        <w:t>five</w:t>
      </w:r>
      <w:r w:rsidR="003B17E9" w:rsidRPr="00033F16">
        <w:t xml:space="preserve"> years; focusing on brief descriptions of assignments and experience in similar projects. </w:t>
      </w:r>
      <w:r w:rsidR="00EF413E" w:rsidRPr="00033F16">
        <w:t>Consultant</w:t>
      </w:r>
      <w:r w:rsidR="003B17E9" w:rsidRPr="00033F16">
        <w:t xml:space="preserve"> must supply the Bank with a list of companies for which the </w:t>
      </w:r>
      <w:r w:rsidR="00EF413E" w:rsidRPr="00033F16">
        <w:t>consultant</w:t>
      </w:r>
      <w:r w:rsidR="003B17E9" w:rsidRPr="00033F16">
        <w:t xml:space="preserve"> has completed projects that are essentially equivalent to the Vendor’s proposal to the Bank: </w:t>
      </w:r>
    </w:p>
    <w:p w14:paraId="7835C01C" w14:textId="77777777" w:rsidR="003B17E9" w:rsidRPr="00033F16" w:rsidRDefault="003B17E9" w:rsidP="003B17E9">
      <w:pPr>
        <w:jc w:val="both"/>
      </w:pPr>
    </w:p>
    <w:p w14:paraId="4117FD50" w14:textId="77777777" w:rsidR="003B17E9" w:rsidRPr="00033F16" w:rsidRDefault="003B17E9" w:rsidP="00803F60">
      <w:pPr>
        <w:pStyle w:val="ListParagraph"/>
        <w:numPr>
          <w:ilvl w:val="0"/>
          <w:numId w:val="2"/>
        </w:numPr>
        <w:ind w:left="1530" w:hanging="450"/>
        <w:jc w:val="both"/>
      </w:pPr>
      <w:r w:rsidRPr="00033F16">
        <w:t>Project title;</w:t>
      </w:r>
    </w:p>
    <w:p w14:paraId="505DCBBD" w14:textId="77777777" w:rsidR="003B17E9" w:rsidRPr="00033F16" w:rsidRDefault="003B17E9" w:rsidP="00803F60">
      <w:pPr>
        <w:pStyle w:val="ListParagraph"/>
        <w:numPr>
          <w:ilvl w:val="0"/>
          <w:numId w:val="2"/>
        </w:numPr>
        <w:ind w:left="1530" w:hanging="450"/>
        <w:jc w:val="both"/>
      </w:pPr>
      <w:r w:rsidRPr="00033F16">
        <w:t>Implementing partners;</w:t>
      </w:r>
    </w:p>
    <w:p w14:paraId="395DFE28" w14:textId="77777777" w:rsidR="003B17E9" w:rsidRPr="00033F16" w:rsidRDefault="003B17E9" w:rsidP="00803F60">
      <w:pPr>
        <w:pStyle w:val="ListParagraph"/>
        <w:numPr>
          <w:ilvl w:val="0"/>
          <w:numId w:val="2"/>
        </w:numPr>
        <w:ind w:left="1530" w:hanging="450"/>
        <w:jc w:val="both"/>
      </w:pPr>
      <w:r w:rsidRPr="00033F16">
        <w:t>project duration and brief;</w:t>
      </w:r>
    </w:p>
    <w:p w14:paraId="65EC1EF8" w14:textId="77777777" w:rsidR="003B17E9" w:rsidRPr="00033F16" w:rsidRDefault="003B17E9" w:rsidP="00803F60">
      <w:pPr>
        <w:pStyle w:val="ListParagraph"/>
        <w:numPr>
          <w:ilvl w:val="0"/>
          <w:numId w:val="2"/>
        </w:numPr>
        <w:ind w:left="1530" w:hanging="450"/>
        <w:jc w:val="both"/>
      </w:pPr>
      <w:r w:rsidRPr="00033F16">
        <w:t>Name of company;</w:t>
      </w:r>
    </w:p>
    <w:p w14:paraId="2E6CF326" w14:textId="77777777" w:rsidR="003B17E9" w:rsidRPr="00033F16" w:rsidRDefault="003B17E9" w:rsidP="00803F60">
      <w:pPr>
        <w:pStyle w:val="ListParagraph"/>
        <w:numPr>
          <w:ilvl w:val="0"/>
          <w:numId w:val="2"/>
        </w:numPr>
        <w:ind w:left="1530" w:hanging="450"/>
        <w:jc w:val="both"/>
      </w:pPr>
      <w:r w:rsidRPr="00033F16">
        <w:t>Address;</w:t>
      </w:r>
    </w:p>
    <w:p w14:paraId="24B8D797" w14:textId="77777777" w:rsidR="003B17E9" w:rsidRPr="00033F16" w:rsidRDefault="003B17E9" w:rsidP="00803F60">
      <w:pPr>
        <w:pStyle w:val="ListParagraph"/>
        <w:numPr>
          <w:ilvl w:val="0"/>
          <w:numId w:val="2"/>
        </w:numPr>
        <w:ind w:left="1530" w:hanging="450"/>
        <w:jc w:val="both"/>
      </w:pPr>
      <w:r w:rsidRPr="00033F16">
        <w:lastRenderedPageBreak/>
        <w:t xml:space="preserve">Contact person knowledgeable of their work; and </w:t>
      </w:r>
    </w:p>
    <w:p w14:paraId="62338D13" w14:textId="77777777" w:rsidR="003B17E9" w:rsidRPr="00033F16" w:rsidRDefault="003B17E9" w:rsidP="00803F60">
      <w:pPr>
        <w:pStyle w:val="ListParagraph"/>
        <w:numPr>
          <w:ilvl w:val="0"/>
          <w:numId w:val="2"/>
        </w:numPr>
        <w:ind w:left="1530" w:hanging="450"/>
        <w:jc w:val="both"/>
      </w:pPr>
      <w:r w:rsidRPr="00033F16">
        <w:t>Contact phone number and Email address.</w:t>
      </w:r>
    </w:p>
    <w:p w14:paraId="466BADA1" w14:textId="0E38F6A8" w:rsidR="00FA3758" w:rsidRPr="00033F16" w:rsidRDefault="00FA3758" w:rsidP="003B17E9">
      <w:pPr>
        <w:jc w:val="both"/>
      </w:pPr>
    </w:p>
    <w:p w14:paraId="2721A637" w14:textId="77777777" w:rsidR="00FA3758" w:rsidRPr="00033F16" w:rsidRDefault="00FA3758" w:rsidP="003B17E9">
      <w:pPr>
        <w:jc w:val="both"/>
      </w:pPr>
    </w:p>
    <w:p w14:paraId="74BECE35" w14:textId="68449EC0" w:rsidR="000D6144" w:rsidRPr="00033F16" w:rsidRDefault="00A630B8" w:rsidP="00803F60">
      <w:pPr>
        <w:pStyle w:val="BankNormal"/>
        <w:numPr>
          <w:ilvl w:val="1"/>
          <w:numId w:val="1"/>
        </w:numPr>
        <w:spacing w:after="0"/>
        <w:jc w:val="both"/>
        <w:rPr>
          <w:b/>
          <w:szCs w:val="24"/>
        </w:rPr>
      </w:pPr>
      <w:r w:rsidRPr="00033F16">
        <w:rPr>
          <w:b/>
          <w:szCs w:val="24"/>
        </w:rPr>
        <w:t>Consultant Qualifications</w:t>
      </w:r>
    </w:p>
    <w:p w14:paraId="53A40DB2" w14:textId="74E09551" w:rsidR="00A630B8" w:rsidRPr="00033F16" w:rsidRDefault="00A630B8" w:rsidP="008F536A">
      <w:pPr>
        <w:tabs>
          <w:tab w:val="left" w:pos="900"/>
          <w:tab w:val="left" w:pos="990"/>
        </w:tabs>
        <w:spacing w:before="120" w:after="120"/>
        <w:ind w:left="1290"/>
        <w:jc w:val="both"/>
        <w:rPr>
          <w:color w:val="000000" w:themeColor="text1"/>
        </w:rPr>
      </w:pPr>
      <w:r w:rsidRPr="00033F16">
        <w:rPr>
          <w:color w:val="000000" w:themeColor="text1"/>
        </w:rPr>
        <w:t xml:space="preserve">The </w:t>
      </w:r>
      <w:r w:rsidR="000D6144" w:rsidRPr="00033F16">
        <w:rPr>
          <w:color w:val="000000" w:themeColor="text1"/>
        </w:rPr>
        <w:t xml:space="preserve">applicant should </w:t>
      </w:r>
      <w:r w:rsidR="005623B7" w:rsidRPr="00033F16">
        <w:rPr>
          <w:color w:val="000000" w:themeColor="text1"/>
        </w:rPr>
        <w:t>provide proof that t</w:t>
      </w:r>
      <w:r w:rsidR="000D6144" w:rsidRPr="00033F16">
        <w:rPr>
          <w:color w:val="000000" w:themeColor="text1"/>
        </w:rPr>
        <w:t xml:space="preserve">hey meet the </w:t>
      </w:r>
      <w:r w:rsidRPr="00033F16">
        <w:rPr>
          <w:color w:val="000000" w:themeColor="text1"/>
        </w:rPr>
        <w:t xml:space="preserve">following </w:t>
      </w:r>
      <w:r w:rsidR="000D6144" w:rsidRPr="00033F16">
        <w:rPr>
          <w:color w:val="000000" w:themeColor="text1"/>
        </w:rPr>
        <w:t>requirements</w:t>
      </w:r>
      <w:r w:rsidR="005623B7" w:rsidRPr="00033F16">
        <w:rPr>
          <w:color w:val="000000" w:themeColor="text1"/>
        </w:rPr>
        <w:t xml:space="preserve"> </w:t>
      </w:r>
      <w:r w:rsidR="00763E2A" w:rsidRPr="00033F16">
        <w:rPr>
          <w:color w:val="000000" w:themeColor="text1"/>
        </w:rPr>
        <w:t xml:space="preserve">The </w:t>
      </w:r>
      <w:r w:rsidR="008F536A" w:rsidRPr="00033F16">
        <w:rPr>
          <w:color w:val="000000" w:themeColor="text1"/>
        </w:rPr>
        <w:t>applicant must</w:t>
      </w:r>
      <w:r w:rsidR="00763E2A" w:rsidRPr="00033F16">
        <w:rPr>
          <w:color w:val="000000" w:themeColor="text1"/>
        </w:rPr>
        <w:t xml:space="preserve"> ind</w:t>
      </w:r>
      <w:r w:rsidR="008F536A" w:rsidRPr="00033F16">
        <w:rPr>
          <w:color w:val="000000" w:themeColor="text1"/>
        </w:rPr>
        <w:t xml:space="preserve">icate compliance by </w:t>
      </w:r>
      <w:r w:rsidR="00777DA4" w:rsidRPr="00033F16">
        <w:rPr>
          <w:color w:val="000000" w:themeColor="text1"/>
        </w:rPr>
        <w:t>indicating either</w:t>
      </w:r>
      <w:r w:rsidR="00763E2A" w:rsidRPr="00033F16">
        <w:rPr>
          <w:color w:val="000000" w:themeColor="text1"/>
        </w:rPr>
        <w:t xml:space="preserve"> Yes or No.</w:t>
      </w:r>
    </w:p>
    <w:tbl>
      <w:tblPr>
        <w:tblStyle w:val="TableGrid"/>
        <w:tblW w:w="0" w:type="auto"/>
        <w:tblInd w:w="1345" w:type="dxa"/>
        <w:tblLook w:val="04A0" w:firstRow="1" w:lastRow="0" w:firstColumn="1" w:lastColumn="0" w:noHBand="0" w:noVBand="1"/>
      </w:tblPr>
      <w:tblGrid>
        <w:gridCol w:w="6249"/>
        <w:gridCol w:w="1893"/>
      </w:tblGrid>
      <w:tr w:rsidR="00763E2A" w:rsidRPr="00033F16" w14:paraId="22C3B26C" w14:textId="77777777" w:rsidTr="008F536A">
        <w:tc>
          <w:tcPr>
            <w:tcW w:w="6249" w:type="dxa"/>
          </w:tcPr>
          <w:p w14:paraId="6AC1B598" w14:textId="3C7AE16F" w:rsidR="00763E2A" w:rsidRPr="00033F16" w:rsidRDefault="00763E2A" w:rsidP="00C92630">
            <w:pPr>
              <w:pStyle w:val="ListParagraph"/>
              <w:tabs>
                <w:tab w:val="left" w:pos="900"/>
                <w:tab w:val="left" w:pos="990"/>
              </w:tabs>
              <w:ind w:left="450"/>
              <w:contextualSpacing w:val="0"/>
              <w:jc w:val="both"/>
              <w:rPr>
                <w:rFonts w:ascii="Times New Roman" w:hAnsi="Times New Roman" w:cs="Times New Roman"/>
                <w:b/>
                <w:bCs/>
                <w:color w:val="000000" w:themeColor="text1"/>
              </w:rPr>
            </w:pPr>
            <w:r w:rsidRPr="00033F16">
              <w:rPr>
                <w:rFonts w:ascii="Times New Roman" w:hAnsi="Times New Roman" w:cs="Times New Roman"/>
                <w:b/>
                <w:bCs/>
                <w:color w:val="000000" w:themeColor="text1"/>
              </w:rPr>
              <w:t xml:space="preserve">Criteria </w:t>
            </w:r>
          </w:p>
        </w:tc>
        <w:tc>
          <w:tcPr>
            <w:tcW w:w="1893" w:type="dxa"/>
          </w:tcPr>
          <w:p w14:paraId="2460705F" w14:textId="3CA9D797" w:rsidR="00763E2A" w:rsidRPr="00033F16" w:rsidRDefault="00763E2A" w:rsidP="00C92630">
            <w:pPr>
              <w:pStyle w:val="ListParagraph"/>
              <w:tabs>
                <w:tab w:val="left" w:pos="900"/>
                <w:tab w:val="left" w:pos="990"/>
              </w:tabs>
              <w:ind w:left="450"/>
              <w:contextualSpacing w:val="0"/>
              <w:jc w:val="both"/>
              <w:rPr>
                <w:rFonts w:ascii="Times New Roman" w:hAnsi="Times New Roman" w:cs="Times New Roman"/>
                <w:b/>
                <w:bCs/>
                <w:color w:val="000000" w:themeColor="text1"/>
              </w:rPr>
            </w:pPr>
            <w:r w:rsidRPr="00033F16">
              <w:rPr>
                <w:rFonts w:ascii="Times New Roman" w:hAnsi="Times New Roman" w:cs="Times New Roman"/>
                <w:b/>
                <w:bCs/>
                <w:color w:val="000000" w:themeColor="text1"/>
              </w:rPr>
              <w:t>Compliance ( Y/N)</w:t>
            </w:r>
          </w:p>
        </w:tc>
      </w:tr>
      <w:tr w:rsidR="00043B37" w:rsidRPr="00033F16" w14:paraId="516DD61B" w14:textId="2699681F" w:rsidTr="008F536A">
        <w:tc>
          <w:tcPr>
            <w:tcW w:w="6249" w:type="dxa"/>
          </w:tcPr>
          <w:p w14:paraId="2FAE6BE4" w14:textId="77777777" w:rsidR="00043B37" w:rsidRPr="00033F16" w:rsidRDefault="00043B37" w:rsidP="00803F60">
            <w:pPr>
              <w:pStyle w:val="ListParagraph"/>
              <w:numPr>
                <w:ilvl w:val="0"/>
                <w:numId w:val="9"/>
              </w:numPr>
              <w:tabs>
                <w:tab w:val="left" w:pos="900"/>
                <w:tab w:val="left" w:pos="990"/>
              </w:tabs>
              <w:spacing w:before="120" w:after="120"/>
              <w:ind w:left="450" w:hanging="450"/>
              <w:contextualSpacing w:val="0"/>
              <w:jc w:val="both"/>
              <w:rPr>
                <w:rFonts w:ascii="Times New Roman" w:hAnsi="Times New Roman" w:cs="Times New Roman"/>
                <w:color w:val="000000" w:themeColor="text1"/>
                <w:szCs w:val="20"/>
              </w:rPr>
            </w:pPr>
            <w:r w:rsidRPr="00033F16">
              <w:rPr>
                <w:rFonts w:ascii="Times New Roman" w:hAnsi="Times New Roman" w:cs="Times New Roman"/>
                <w:color w:val="000000" w:themeColor="text1"/>
              </w:rPr>
              <w:t xml:space="preserve">The </w:t>
            </w:r>
            <w:r w:rsidRPr="00033F16">
              <w:rPr>
                <w:rFonts w:ascii="Times New Roman" w:hAnsi="Times New Roman" w:cs="Times New Roman"/>
              </w:rPr>
              <w:t>consulting</w:t>
            </w:r>
            <w:r w:rsidRPr="00033F16">
              <w:rPr>
                <w:rFonts w:ascii="Times New Roman" w:eastAsia="Times New Roman" w:hAnsi="Times New Roman" w:cs="Times New Roman"/>
              </w:rPr>
              <w:t xml:space="preserve"> firm m</w:t>
            </w:r>
            <w:r w:rsidRPr="00033F16">
              <w:rPr>
                <w:rFonts w:ascii="Times New Roman" w:hAnsi="Times New Roman" w:cs="Times New Roman"/>
                <w:color w:val="000000" w:themeColor="text1"/>
              </w:rPr>
              <w:t>ust have set up a DW</w:t>
            </w:r>
            <w:r w:rsidRPr="00033F16">
              <w:rPr>
                <w:rFonts w:ascii="Times New Roman" w:hAnsi="Times New Roman" w:cs="Times New Roman"/>
              </w:rPr>
              <w:t xml:space="preserve"> </w:t>
            </w:r>
            <w:r w:rsidRPr="00033F16">
              <w:rPr>
                <w:rFonts w:ascii="Times New Roman" w:hAnsi="Times New Roman" w:cs="Times New Roman"/>
                <w:color w:val="000000" w:themeColor="text1"/>
              </w:rPr>
              <w:t>with SupTech capabilities in a c</w:t>
            </w:r>
            <w:r w:rsidRPr="00033F16">
              <w:rPr>
                <w:rFonts w:ascii="Times New Roman" w:hAnsi="Times New Roman" w:cs="Times New Roman"/>
                <w:color w:val="000000" w:themeColor="text1"/>
                <w:szCs w:val="20"/>
              </w:rPr>
              <w:t>entral bank</w:t>
            </w:r>
            <w:r w:rsidRPr="00033F16">
              <w:rPr>
                <w:rFonts w:ascii="Times New Roman" w:hAnsi="Times New Roman" w:cs="Times New Roman"/>
                <w:color w:val="000000" w:themeColor="text1"/>
              </w:rPr>
              <w:t xml:space="preserve"> and two other similar assignments of the same scope.</w:t>
            </w:r>
          </w:p>
        </w:tc>
        <w:tc>
          <w:tcPr>
            <w:tcW w:w="1893" w:type="dxa"/>
          </w:tcPr>
          <w:p w14:paraId="663C2A2D" w14:textId="77777777" w:rsidR="00043B37" w:rsidRPr="00033F16" w:rsidRDefault="00043B37" w:rsidP="00043B37">
            <w:pPr>
              <w:pStyle w:val="ListParagraph"/>
              <w:tabs>
                <w:tab w:val="left" w:pos="900"/>
                <w:tab w:val="left" w:pos="990"/>
              </w:tabs>
              <w:spacing w:before="120" w:after="120"/>
              <w:ind w:left="450"/>
              <w:contextualSpacing w:val="0"/>
              <w:jc w:val="both"/>
              <w:rPr>
                <w:rFonts w:ascii="Times New Roman" w:hAnsi="Times New Roman" w:cs="Times New Roman"/>
                <w:color w:val="000000" w:themeColor="text1"/>
              </w:rPr>
            </w:pPr>
          </w:p>
        </w:tc>
      </w:tr>
      <w:tr w:rsidR="008F536A" w:rsidRPr="00033F16" w14:paraId="7E7C9584" w14:textId="77777777" w:rsidTr="008F536A">
        <w:tc>
          <w:tcPr>
            <w:tcW w:w="6249" w:type="dxa"/>
          </w:tcPr>
          <w:p w14:paraId="2993854F" w14:textId="77777777" w:rsidR="008F536A" w:rsidRPr="00033F16" w:rsidRDefault="008F536A" w:rsidP="00033F16">
            <w:pPr>
              <w:pStyle w:val="ListParagraph"/>
              <w:numPr>
                <w:ilvl w:val="0"/>
                <w:numId w:val="9"/>
              </w:numPr>
              <w:tabs>
                <w:tab w:val="left" w:pos="900"/>
                <w:tab w:val="left" w:pos="990"/>
              </w:tabs>
              <w:spacing w:before="120" w:after="120"/>
              <w:ind w:left="450" w:hanging="450"/>
              <w:contextualSpacing w:val="0"/>
              <w:jc w:val="both"/>
              <w:rPr>
                <w:rFonts w:ascii="Times New Roman" w:hAnsi="Times New Roman" w:cs="Times New Roman"/>
                <w:color w:val="000000" w:themeColor="text1"/>
              </w:rPr>
            </w:pPr>
            <w:r w:rsidRPr="00033F16">
              <w:rPr>
                <w:rFonts w:ascii="Times New Roman" w:hAnsi="Times New Roman" w:cs="Times New Roman"/>
                <w:color w:val="000000" w:themeColor="text1"/>
              </w:rPr>
              <w:t>The Consulting Firm shall designate a qualified Lead Consultant who will be solely responsible for consulting services and project management activities associated with this engagement from inception to completion. The consultant must meet the following minimum requirements:</w:t>
            </w:r>
          </w:p>
          <w:p w14:paraId="1B6DFE52" w14:textId="77777777" w:rsidR="008F536A" w:rsidRPr="00033F16" w:rsidRDefault="008F536A" w:rsidP="00033F16">
            <w:pPr>
              <w:pStyle w:val="ListParagraph"/>
              <w:tabs>
                <w:tab w:val="left" w:pos="900"/>
                <w:tab w:val="left" w:pos="990"/>
              </w:tabs>
              <w:spacing w:before="120" w:after="120"/>
              <w:ind w:left="1080"/>
              <w:jc w:val="both"/>
              <w:rPr>
                <w:rFonts w:ascii="Times New Roman" w:hAnsi="Times New Roman" w:cs="Times New Roman"/>
                <w:color w:val="000000" w:themeColor="text1"/>
              </w:rPr>
            </w:pPr>
          </w:p>
          <w:p w14:paraId="68EA359A" w14:textId="30BE362F" w:rsidR="00033F16" w:rsidRPr="002A5550" w:rsidRDefault="00033F16" w:rsidP="00F15656">
            <w:pPr>
              <w:pStyle w:val="ListParagraph"/>
              <w:numPr>
                <w:ilvl w:val="0"/>
                <w:numId w:val="13"/>
              </w:numPr>
              <w:tabs>
                <w:tab w:val="left" w:pos="900"/>
                <w:tab w:val="left" w:pos="990"/>
              </w:tabs>
              <w:spacing w:before="120" w:after="120"/>
              <w:jc w:val="both"/>
              <w:rPr>
                <w:rFonts w:ascii="Times New Roman" w:hAnsi="Times New Roman" w:cs="Times New Roman"/>
              </w:rPr>
            </w:pPr>
            <w:r w:rsidRPr="002A5550">
              <w:rPr>
                <w:rFonts w:ascii="Times New Roman" w:eastAsia="Times New Roman" w:hAnsi="Times New Roman" w:cs="Times New Roman"/>
              </w:rPr>
              <w:t>The lead consultant m</w:t>
            </w:r>
            <w:r w:rsidRPr="002A5550">
              <w:rPr>
                <w:rFonts w:ascii="Times New Roman" w:hAnsi="Times New Roman" w:cs="Times New Roman"/>
              </w:rPr>
              <w:t>ust have set up a DW with SupTech capabilities in a central bank. Served</w:t>
            </w:r>
            <w:r w:rsidR="008F536A" w:rsidRPr="002A5550">
              <w:rPr>
                <w:rFonts w:ascii="Times New Roman" w:hAnsi="Times New Roman" w:cs="Times New Roman"/>
              </w:rPr>
              <w:t xml:space="preserve"> as an individual consultant and successfully completed a Data Warehouse and Business Intelligence Project with similar scope for an institution with comparable size and complexity within the last eight (8) years. At least </w:t>
            </w:r>
            <w:r w:rsidR="00AF746C" w:rsidRPr="002A5550">
              <w:rPr>
                <w:rFonts w:ascii="Times New Roman" w:hAnsi="Times New Roman" w:cs="Times New Roman"/>
              </w:rPr>
              <w:t>three (3)</w:t>
            </w:r>
            <w:r w:rsidR="008F536A" w:rsidRPr="002A5550">
              <w:rPr>
                <w:rFonts w:ascii="Times New Roman" w:hAnsi="Times New Roman" w:cs="Times New Roman"/>
              </w:rPr>
              <w:t xml:space="preserve"> years of experience in implementing large data management projects and ICT projects, maintenance of ICT systems and testing.</w:t>
            </w:r>
          </w:p>
          <w:p w14:paraId="034AC421" w14:textId="77777777" w:rsidR="00033F16" w:rsidRPr="00033F16" w:rsidRDefault="00033F16" w:rsidP="00033F16">
            <w:pPr>
              <w:pStyle w:val="ListParagraph"/>
              <w:tabs>
                <w:tab w:val="left" w:pos="900"/>
                <w:tab w:val="left" w:pos="990"/>
              </w:tabs>
              <w:spacing w:before="120" w:after="120"/>
              <w:ind w:left="1080"/>
              <w:jc w:val="both"/>
              <w:rPr>
                <w:rFonts w:ascii="Times New Roman" w:hAnsi="Times New Roman" w:cs="Times New Roman"/>
                <w:color w:val="000000" w:themeColor="text1"/>
              </w:rPr>
            </w:pPr>
          </w:p>
          <w:p w14:paraId="57D4A4A5" w14:textId="77777777" w:rsidR="00033F16" w:rsidRPr="00472BEB" w:rsidRDefault="00033F16" w:rsidP="00033F16">
            <w:pPr>
              <w:pStyle w:val="ListParagraph"/>
              <w:numPr>
                <w:ilvl w:val="0"/>
                <w:numId w:val="13"/>
              </w:numPr>
              <w:tabs>
                <w:tab w:val="left" w:pos="900"/>
                <w:tab w:val="left" w:pos="990"/>
              </w:tabs>
              <w:spacing w:before="120" w:after="120"/>
              <w:jc w:val="both"/>
              <w:rPr>
                <w:rFonts w:ascii="Times New Roman" w:hAnsi="Times New Roman" w:cs="Times New Roman"/>
              </w:rPr>
            </w:pPr>
            <w:r w:rsidRPr="00472BEB">
              <w:rPr>
                <w:rFonts w:ascii="Times New Roman" w:hAnsi="Times New Roman" w:cs="Times New Roman"/>
              </w:rPr>
              <w:t xml:space="preserve">BSc in Electronic Engineering or Computer Science or its equivalent, MSc in Electronic Engineering or Computer Science will be added advantage; </w:t>
            </w:r>
          </w:p>
          <w:p w14:paraId="52B03944" w14:textId="77777777" w:rsidR="00033F16" w:rsidRPr="00472BEB" w:rsidRDefault="00033F16" w:rsidP="00033F16">
            <w:pPr>
              <w:pStyle w:val="ListParagraph"/>
              <w:tabs>
                <w:tab w:val="left" w:pos="900"/>
                <w:tab w:val="left" w:pos="990"/>
              </w:tabs>
              <w:spacing w:before="120" w:after="120"/>
              <w:ind w:left="1080"/>
              <w:jc w:val="both"/>
              <w:rPr>
                <w:rFonts w:ascii="Times New Roman" w:hAnsi="Times New Roman" w:cs="Times New Roman"/>
              </w:rPr>
            </w:pPr>
          </w:p>
          <w:p w14:paraId="62ECD1BB" w14:textId="1B567378" w:rsidR="008F536A" w:rsidRPr="00033F16" w:rsidRDefault="008F536A" w:rsidP="00033F16">
            <w:pPr>
              <w:pStyle w:val="ListParagraph"/>
              <w:numPr>
                <w:ilvl w:val="0"/>
                <w:numId w:val="13"/>
              </w:numPr>
              <w:tabs>
                <w:tab w:val="left" w:pos="900"/>
                <w:tab w:val="left" w:pos="990"/>
              </w:tabs>
              <w:spacing w:before="120" w:after="120"/>
              <w:jc w:val="both"/>
              <w:rPr>
                <w:rFonts w:ascii="Times New Roman" w:hAnsi="Times New Roman" w:cs="Times New Roman"/>
                <w:color w:val="000000" w:themeColor="text1"/>
              </w:rPr>
            </w:pPr>
            <w:r w:rsidRPr="00033F16">
              <w:rPr>
                <w:rFonts w:ascii="Times New Roman" w:hAnsi="Times New Roman" w:cs="Times New Roman"/>
                <w:color w:val="000000" w:themeColor="text1"/>
              </w:rPr>
              <w:t>Must provide references from at least two (2) customers with whom Consultant ha</w:t>
            </w:r>
            <w:r w:rsidR="00512370">
              <w:rPr>
                <w:rFonts w:ascii="Times New Roman" w:hAnsi="Times New Roman" w:cs="Times New Roman"/>
                <w:color w:val="000000" w:themeColor="text1"/>
              </w:rPr>
              <w:t>s</w:t>
            </w:r>
            <w:r w:rsidRPr="00033F16">
              <w:rPr>
                <w:rFonts w:ascii="Times New Roman" w:hAnsi="Times New Roman" w:cs="Times New Roman"/>
                <w:color w:val="000000" w:themeColor="text1"/>
              </w:rPr>
              <w:t xml:space="preserve"> implemented similar systems or are currently being implemented, including contact names, titles, </w:t>
            </w:r>
            <w:proofErr w:type="gramStart"/>
            <w:r w:rsidRPr="00033F16">
              <w:rPr>
                <w:rFonts w:ascii="Times New Roman" w:hAnsi="Times New Roman" w:cs="Times New Roman"/>
                <w:color w:val="000000" w:themeColor="text1"/>
              </w:rPr>
              <w:t>email</w:t>
            </w:r>
            <w:proofErr w:type="gramEnd"/>
            <w:r w:rsidRPr="00033F16">
              <w:rPr>
                <w:rFonts w:ascii="Times New Roman" w:hAnsi="Times New Roman" w:cs="Times New Roman"/>
                <w:color w:val="000000" w:themeColor="text1"/>
              </w:rPr>
              <w:t xml:space="preserve"> and phone numbers of referenced companies along with a description of the project. The systems </w:t>
            </w:r>
            <w:r w:rsidR="00512370">
              <w:rPr>
                <w:rFonts w:ascii="Times New Roman" w:hAnsi="Times New Roman" w:cs="Times New Roman"/>
                <w:color w:val="000000" w:themeColor="text1"/>
              </w:rPr>
              <w:t xml:space="preserve">previously implemented </w:t>
            </w:r>
            <w:r w:rsidRPr="00033F16">
              <w:rPr>
                <w:rFonts w:ascii="Times New Roman" w:hAnsi="Times New Roman" w:cs="Times New Roman"/>
                <w:color w:val="000000" w:themeColor="text1"/>
              </w:rPr>
              <w:t xml:space="preserve">must currently be in operation or at installation phase. </w:t>
            </w:r>
          </w:p>
        </w:tc>
        <w:tc>
          <w:tcPr>
            <w:tcW w:w="1893" w:type="dxa"/>
          </w:tcPr>
          <w:p w14:paraId="3236E1AE" w14:textId="77777777" w:rsidR="008F536A" w:rsidRPr="00033F16" w:rsidRDefault="008F536A" w:rsidP="00043B37">
            <w:pPr>
              <w:pStyle w:val="ListParagraph"/>
              <w:tabs>
                <w:tab w:val="left" w:pos="900"/>
                <w:tab w:val="left" w:pos="990"/>
              </w:tabs>
              <w:spacing w:before="120" w:after="120"/>
              <w:ind w:left="450"/>
              <w:contextualSpacing w:val="0"/>
              <w:jc w:val="both"/>
              <w:rPr>
                <w:rFonts w:ascii="Times New Roman" w:hAnsi="Times New Roman" w:cs="Times New Roman"/>
                <w:color w:val="000000" w:themeColor="text1"/>
              </w:rPr>
            </w:pPr>
          </w:p>
        </w:tc>
      </w:tr>
      <w:tr w:rsidR="00043B37" w:rsidRPr="00033F16" w14:paraId="21FDAEED" w14:textId="2D2AF40A" w:rsidTr="008F536A">
        <w:tc>
          <w:tcPr>
            <w:tcW w:w="6249" w:type="dxa"/>
          </w:tcPr>
          <w:p w14:paraId="7DBBA033" w14:textId="14F392F9" w:rsidR="00043B37" w:rsidRPr="00033F16" w:rsidRDefault="00043B37" w:rsidP="00033F16">
            <w:pPr>
              <w:tabs>
                <w:tab w:val="left" w:pos="900"/>
                <w:tab w:val="left" w:pos="990"/>
              </w:tabs>
              <w:spacing w:before="120" w:after="120"/>
              <w:jc w:val="both"/>
              <w:rPr>
                <w:color w:val="000000" w:themeColor="text1"/>
                <w:szCs w:val="20"/>
              </w:rPr>
            </w:pPr>
          </w:p>
        </w:tc>
        <w:tc>
          <w:tcPr>
            <w:tcW w:w="1893" w:type="dxa"/>
          </w:tcPr>
          <w:p w14:paraId="63E0E87D" w14:textId="77777777" w:rsidR="00043B37" w:rsidRPr="00033F16" w:rsidRDefault="00043B37" w:rsidP="00043B37">
            <w:pPr>
              <w:pStyle w:val="ListParagraph"/>
              <w:tabs>
                <w:tab w:val="left" w:pos="900"/>
                <w:tab w:val="left" w:pos="990"/>
              </w:tabs>
              <w:spacing w:before="120" w:after="120"/>
              <w:ind w:left="450"/>
              <w:contextualSpacing w:val="0"/>
              <w:jc w:val="both"/>
              <w:rPr>
                <w:rFonts w:ascii="Times New Roman" w:hAnsi="Times New Roman" w:cs="Times New Roman"/>
              </w:rPr>
            </w:pPr>
          </w:p>
        </w:tc>
      </w:tr>
      <w:tr w:rsidR="00043B37" w:rsidRPr="00033F16" w14:paraId="74CCB483" w14:textId="464400D7" w:rsidTr="008F536A">
        <w:tc>
          <w:tcPr>
            <w:tcW w:w="6249" w:type="dxa"/>
          </w:tcPr>
          <w:p w14:paraId="1C2C913E" w14:textId="1A0A6483" w:rsidR="00043B37" w:rsidRPr="00033F16" w:rsidRDefault="00043B37" w:rsidP="00033F16">
            <w:pPr>
              <w:pStyle w:val="ListParagraph"/>
              <w:numPr>
                <w:ilvl w:val="0"/>
                <w:numId w:val="9"/>
              </w:numPr>
              <w:tabs>
                <w:tab w:val="left" w:pos="900"/>
                <w:tab w:val="left" w:pos="990"/>
              </w:tabs>
              <w:spacing w:before="120" w:after="120"/>
              <w:ind w:left="450" w:hanging="450"/>
              <w:contextualSpacing w:val="0"/>
              <w:jc w:val="both"/>
              <w:rPr>
                <w:rFonts w:ascii="Times New Roman" w:hAnsi="Times New Roman" w:cs="Times New Roman"/>
                <w:color w:val="000000" w:themeColor="text1"/>
                <w:szCs w:val="20"/>
              </w:rPr>
            </w:pPr>
            <w:r w:rsidRPr="00033F16">
              <w:rPr>
                <w:rFonts w:ascii="Times New Roman" w:eastAsia="Times New Roman" w:hAnsi="Times New Roman" w:cs="Times New Roman"/>
                <w:color w:val="000000" w:themeColor="text1"/>
                <w:szCs w:val="20"/>
              </w:rPr>
              <w:lastRenderedPageBreak/>
              <w:t>The firm must provide audited financial statements for the past three</w:t>
            </w:r>
            <w:r w:rsidR="00D809F2">
              <w:rPr>
                <w:rFonts w:ascii="Times New Roman" w:eastAsia="Times New Roman" w:hAnsi="Times New Roman" w:cs="Times New Roman"/>
                <w:color w:val="000000" w:themeColor="text1"/>
                <w:szCs w:val="20"/>
              </w:rPr>
              <w:t xml:space="preserve"> (3)</w:t>
            </w:r>
            <w:r w:rsidRPr="00033F16">
              <w:rPr>
                <w:rFonts w:ascii="Times New Roman" w:eastAsia="Times New Roman" w:hAnsi="Times New Roman" w:cs="Times New Roman"/>
                <w:color w:val="000000" w:themeColor="text1"/>
                <w:szCs w:val="20"/>
              </w:rPr>
              <w:t xml:space="preserve"> years. If the firm intends to go in joint venture both firms must provide audited financial statements for past three </w:t>
            </w:r>
            <w:r w:rsidR="00D809F2">
              <w:rPr>
                <w:rFonts w:ascii="Times New Roman" w:eastAsia="Times New Roman" w:hAnsi="Times New Roman" w:cs="Times New Roman"/>
                <w:color w:val="000000" w:themeColor="text1"/>
                <w:szCs w:val="20"/>
              </w:rPr>
              <w:t xml:space="preserve">(3) </w:t>
            </w:r>
            <w:r w:rsidRPr="00033F16">
              <w:rPr>
                <w:rFonts w:ascii="Times New Roman" w:eastAsia="Times New Roman" w:hAnsi="Times New Roman" w:cs="Times New Roman"/>
                <w:color w:val="000000" w:themeColor="text1"/>
                <w:szCs w:val="20"/>
              </w:rPr>
              <w:t>years.</w:t>
            </w:r>
          </w:p>
        </w:tc>
        <w:tc>
          <w:tcPr>
            <w:tcW w:w="1893" w:type="dxa"/>
          </w:tcPr>
          <w:p w14:paraId="39E1147E" w14:textId="77777777" w:rsidR="00043B37" w:rsidRPr="00033F16" w:rsidRDefault="00043B37" w:rsidP="00043B37">
            <w:pPr>
              <w:pStyle w:val="ListParagraph"/>
              <w:tabs>
                <w:tab w:val="left" w:pos="900"/>
                <w:tab w:val="left" w:pos="990"/>
              </w:tabs>
              <w:spacing w:before="120" w:after="120"/>
              <w:ind w:left="450"/>
              <w:contextualSpacing w:val="0"/>
              <w:jc w:val="both"/>
              <w:rPr>
                <w:rFonts w:ascii="Times New Roman" w:hAnsi="Times New Roman" w:cs="Times New Roman"/>
                <w:color w:val="000000" w:themeColor="text1"/>
                <w:szCs w:val="20"/>
              </w:rPr>
            </w:pPr>
          </w:p>
        </w:tc>
      </w:tr>
      <w:tr w:rsidR="00043B37" w:rsidRPr="00033F16" w14:paraId="6EB4580F" w14:textId="0ADBFE31" w:rsidTr="008F536A">
        <w:tc>
          <w:tcPr>
            <w:tcW w:w="6249" w:type="dxa"/>
          </w:tcPr>
          <w:p w14:paraId="6C36003F" w14:textId="7DEB591D" w:rsidR="00043B37" w:rsidRPr="00033F16" w:rsidRDefault="00043B37" w:rsidP="00033F16">
            <w:pPr>
              <w:pStyle w:val="ListParagraph"/>
              <w:numPr>
                <w:ilvl w:val="0"/>
                <w:numId w:val="9"/>
              </w:numPr>
              <w:tabs>
                <w:tab w:val="left" w:pos="900"/>
                <w:tab w:val="left" w:pos="990"/>
              </w:tabs>
              <w:spacing w:before="120" w:after="120"/>
              <w:ind w:left="450" w:hanging="450"/>
              <w:contextualSpacing w:val="0"/>
              <w:jc w:val="both"/>
              <w:rPr>
                <w:rFonts w:ascii="Times New Roman" w:hAnsi="Times New Roman" w:cs="Times New Roman"/>
                <w:color w:val="000000" w:themeColor="text1"/>
                <w:szCs w:val="20"/>
              </w:rPr>
            </w:pPr>
            <w:r w:rsidRPr="00033F16">
              <w:rPr>
                <w:rFonts w:ascii="Times New Roman" w:eastAsia="Times New Roman" w:hAnsi="Times New Roman" w:cs="Times New Roman"/>
                <w:color w:val="000000" w:themeColor="text1"/>
                <w:szCs w:val="20"/>
              </w:rPr>
              <w:t xml:space="preserve">Provide evidence (e.g. signed reference letters from past clients, contracts) of at least three </w:t>
            </w:r>
            <w:r w:rsidR="00D809F2">
              <w:rPr>
                <w:rFonts w:ascii="Times New Roman" w:eastAsia="Times New Roman" w:hAnsi="Times New Roman" w:cs="Times New Roman"/>
                <w:color w:val="000000" w:themeColor="text1"/>
                <w:szCs w:val="20"/>
              </w:rPr>
              <w:t xml:space="preserve">(3) </w:t>
            </w:r>
            <w:r w:rsidRPr="00033F16">
              <w:rPr>
                <w:rFonts w:ascii="Times New Roman" w:eastAsia="Times New Roman" w:hAnsi="Times New Roman" w:cs="Times New Roman"/>
                <w:color w:val="000000" w:themeColor="text1"/>
                <w:szCs w:val="20"/>
              </w:rPr>
              <w:t xml:space="preserve">projects where the firm/entity, either individually as a corporate entity or as one of the major companies within an association, provided similar services i.e. implemented similar systems or are currently being implemented, with a description of the project. At least one system must be currently in operation. </w:t>
            </w:r>
          </w:p>
        </w:tc>
        <w:tc>
          <w:tcPr>
            <w:tcW w:w="1893" w:type="dxa"/>
          </w:tcPr>
          <w:p w14:paraId="34B35E2A" w14:textId="77777777" w:rsidR="00043B37" w:rsidRPr="00033F16" w:rsidRDefault="00043B37" w:rsidP="00043B37">
            <w:pPr>
              <w:pStyle w:val="ListParagraph"/>
              <w:tabs>
                <w:tab w:val="left" w:pos="900"/>
                <w:tab w:val="left" w:pos="990"/>
              </w:tabs>
              <w:spacing w:before="120" w:after="120"/>
              <w:ind w:left="450"/>
              <w:contextualSpacing w:val="0"/>
              <w:jc w:val="both"/>
              <w:rPr>
                <w:rFonts w:ascii="Times New Roman" w:hAnsi="Times New Roman" w:cs="Times New Roman"/>
                <w:color w:val="000000" w:themeColor="text1"/>
                <w:szCs w:val="20"/>
              </w:rPr>
            </w:pPr>
          </w:p>
        </w:tc>
      </w:tr>
    </w:tbl>
    <w:p w14:paraId="19580B2F" w14:textId="61B1B9F4" w:rsidR="00A630B8" w:rsidRPr="00033F16" w:rsidRDefault="00A630B8" w:rsidP="003B17E9">
      <w:pPr>
        <w:jc w:val="both"/>
      </w:pPr>
    </w:p>
    <w:p w14:paraId="7A37A219" w14:textId="77777777" w:rsidR="00A630B8" w:rsidRPr="00033F16" w:rsidRDefault="00A630B8" w:rsidP="003B17E9">
      <w:pPr>
        <w:jc w:val="both"/>
      </w:pPr>
    </w:p>
    <w:p w14:paraId="2605EE35" w14:textId="7E3515DB" w:rsidR="003B17E9" w:rsidRPr="00033F16" w:rsidRDefault="00E16A21" w:rsidP="00803F60">
      <w:pPr>
        <w:pStyle w:val="BankNormal"/>
        <w:numPr>
          <w:ilvl w:val="0"/>
          <w:numId w:val="1"/>
        </w:numPr>
        <w:spacing w:after="0"/>
        <w:ind w:left="540"/>
        <w:jc w:val="both"/>
        <w:rPr>
          <w:rFonts w:eastAsiaTheme="minorHAnsi"/>
          <w:b/>
          <w:color w:val="000000"/>
        </w:rPr>
      </w:pPr>
      <w:r w:rsidRPr="00033F16">
        <w:rPr>
          <w:rFonts w:eastAsiaTheme="minorHAnsi"/>
          <w:b/>
          <w:color w:val="000000"/>
        </w:rPr>
        <w:t>TIME</w:t>
      </w:r>
      <w:r w:rsidR="003B17E9" w:rsidRPr="00033F16">
        <w:rPr>
          <w:rFonts w:eastAsiaTheme="minorHAnsi"/>
          <w:b/>
          <w:color w:val="000000"/>
        </w:rPr>
        <w:t xml:space="preserve"> SCHEDULE</w:t>
      </w:r>
    </w:p>
    <w:p w14:paraId="4C9030E8" w14:textId="77777777" w:rsidR="003B17E9" w:rsidRPr="00033F16" w:rsidRDefault="003B17E9" w:rsidP="003B17E9">
      <w:pPr>
        <w:pStyle w:val="ListParagraph"/>
        <w:autoSpaceDE w:val="0"/>
        <w:autoSpaceDN w:val="0"/>
        <w:adjustRightInd w:val="0"/>
        <w:ind w:left="540"/>
        <w:jc w:val="both"/>
        <w:rPr>
          <w:rFonts w:eastAsiaTheme="minorHAnsi"/>
          <w:b/>
          <w:color w:val="000000"/>
        </w:rPr>
      </w:pPr>
    </w:p>
    <w:p w14:paraId="39CD028E" w14:textId="77777777" w:rsidR="00E16A21" w:rsidRPr="00033F16" w:rsidRDefault="00E16A21" w:rsidP="00043B37">
      <w:pPr>
        <w:suppressAutoHyphens/>
        <w:spacing w:before="120" w:after="120"/>
        <w:ind w:left="540"/>
        <w:jc w:val="both"/>
        <w:rPr>
          <w:szCs w:val="20"/>
        </w:rPr>
      </w:pPr>
      <w:r w:rsidRPr="00033F16">
        <w:rPr>
          <w:szCs w:val="20"/>
        </w:rPr>
        <w:t>The consultant shall be expected to complete the tasks within 150 working days broken down into the following milestones:</w:t>
      </w:r>
    </w:p>
    <w:p w14:paraId="08E7D2A9" w14:textId="77777777" w:rsidR="00E16A21" w:rsidRPr="00033F16" w:rsidRDefault="00E16A21" w:rsidP="00043B37">
      <w:pPr>
        <w:suppressAutoHyphens/>
        <w:ind w:left="540"/>
        <w:jc w:val="both"/>
        <w:rPr>
          <w:szCs w:val="20"/>
        </w:rPr>
      </w:pPr>
    </w:p>
    <w:tbl>
      <w:tblPr>
        <w:tblStyle w:val="TableGrid"/>
        <w:tblW w:w="9265" w:type="dxa"/>
        <w:tblInd w:w="540" w:type="dxa"/>
        <w:tblLook w:val="04A0" w:firstRow="1" w:lastRow="0" w:firstColumn="1" w:lastColumn="0" w:noHBand="0" w:noVBand="1"/>
      </w:tblPr>
      <w:tblGrid>
        <w:gridCol w:w="510"/>
        <w:gridCol w:w="6775"/>
        <w:gridCol w:w="1980"/>
      </w:tblGrid>
      <w:tr w:rsidR="00E16A21" w:rsidRPr="00033F16" w14:paraId="0384DF98" w14:textId="77777777" w:rsidTr="00043B37">
        <w:tc>
          <w:tcPr>
            <w:tcW w:w="510" w:type="dxa"/>
          </w:tcPr>
          <w:p w14:paraId="40896567" w14:textId="77777777" w:rsidR="00E16A21" w:rsidRPr="00033F16" w:rsidRDefault="00E16A21" w:rsidP="00A41396">
            <w:pPr>
              <w:suppressAutoHyphens/>
              <w:jc w:val="both"/>
              <w:rPr>
                <w:rFonts w:ascii="Times New Roman" w:eastAsia="Times New Roman" w:hAnsi="Times New Roman" w:cs="Times New Roman"/>
                <w:b/>
                <w:szCs w:val="20"/>
              </w:rPr>
            </w:pPr>
            <w:r w:rsidRPr="00033F16">
              <w:rPr>
                <w:rFonts w:ascii="Times New Roman" w:eastAsia="Times New Roman" w:hAnsi="Times New Roman" w:cs="Times New Roman"/>
                <w:b/>
                <w:szCs w:val="20"/>
              </w:rPr>
              <w:t>No</w:t>
            </w:r>
          </w:p>
        </w:tc>
        <w:tc>
          <w:tcPr>
            <w:tcW w:w="6775" w:type="dxa"/>
          </w:tcPr>
          <w:p w14:paraId="7203E93F" w14:textId="77777777" w:rsidR="00E16A21" w:rsidRPr="00033F16" w:rsidRDefault="00E16A21" w:rsidP="00A41396">
            <w:pPr>
              <w:suppressAutoHyphens/>
              <w:jc w:val="both"/>
              <w:rPr>
                <w:rFonts w:ascii="Times New Roman" w:eastAsia="Times New Roman" w:hAnsi="Times New Roman" w:cs="Times New Roman"/>
                <w:b/>
                <w:szCs w:val="20"/>
              </w:rPr>
            </w:pPr>
            <w:r w:rsidRPr="00033F16">
              <w:rPr>
                <w:rFonts w:ascii="Times New Roman" w:eastAsia="Times New Roman" w:hAnsi="Times New Roman" w:cs="Times New Roman"/>
                <w:b/>
                <w:szCs w:val="20"/>
              </w:rPr>
              <w:t>Milestones</w:t>
            </w:r>
          </w:p>
        </w:tc>
        <w:tc>
          <w:tcPr>
            <w:tcW w:w="1980" w:type="dxa"/>
          </w:tcPr>
          <w:p w14:paraId="1B180502" w14:textId="77777777" w:rsidR="00E16A21" w:rsidRPr="00033F16" w:rsidRDefault="00E16A21" w:rsidP="00A41396">
            <w:pPr>
              <w:suppressAutoHyphens/>
              <w:jc w:val="both"/>
              <w:rPr>
                <w:rFonts w:ascii="Times New Roman" w:eastAsia="Times New Roman" w:hAnsi="Times New Roman" w:cs="Times New Roman"/>
                <w:b/>
                <w:szCs w:val="20"/>
              </w:rPr>
            </w:pPr>
            <w:r w:rsidRPr="00033F16">
              <w:rPr>
                <w:rFonts w:ascii="Times New Roman" w:eastAsia="Times New Roman" w:hAnsi="Times New Roman" w:cs="Times New Roman"/>
                <w:b/>
                <w:szCs w:val="20"/>
              </w:rPr>
              <w:t>Time Allocation</w:t>
            </w:r>
          </w:p>
        </w:tc>
      </w:tr>
      <w:tr w:rsidR="00E16A21" w:rsidRPr="00033F16" w14:paraId="09108D00" w14:textId="77777777" w:rsidTr="00043B37">
        <w:tc>
          <w:tcPr>
            <w:tcW w:w="510" w:type="dxa"/>
          </w:tcPr>
          <w:p w14:paraId="1B8270BC" w14:textId="77777777" w:rsidR="00E16A21" w:rsidRPr="00033F16" w:rsidRDefault="00E16A21" w:rsidP="00803F60">
            <w:pPr>
              <w:pStyle w:val="ListParagraph"/>
              <w:numPr>
                <w:ilvl w:val="0"/>
                <w:numId w:val="10"/>
              </w:numPr>
              <w:suppressAutoHyphens/>
              <w:jc w:val="both"/>
              <w:rPr>
                <w:rFonts w:ascii="Times New Roman" w:eastAsia="Times New Roman" w:hAnsi="Times New Roman" w:cs="Times New Roman"/>
                <w:szCs w:val="20"/>
              </w:rPr>
            </w:pPr>
          </w:p>
        </w:tc>
        <w:tc>
          <w:tcPr>
            <w:tcW w:w="6775" w:type="dxa"/>
          </w:tcPr>
          <w:p w14:paraId="762B9DB5" w14:textId="77777777" w:rsidR="00E16A21" w:rsidRPr="00033F16" w:rsidRDefault="00E16A21" w:rsidP="00A41396">
            <w:pPr>
              <w:suppressAutoHyphens/>
              <w:jc w:val="both"/>
              <w:rPr>
                <w:rFonts w:ascii="Times New Roman" w:eastAsia="Times New Roman" w:hAnsi="Times New Roman" w:cs="Times New Roman"/>
                <w:szCs w:val="20"/>
              </w:rPr>
            </w:pPr>
            <w:r w:rsidRPr="00033F16">
              <w:rPr>
                <w:rFonts w:ascii="Times New Roman" w:eastAsia="Times New Roman" w:hAnsi="Times New Roman" w:cs="Times New Roman"/>
                <w:szCs w:val="20"/>
              </w:rPr>
              <w:t xml:space="preserve">Consultancy work </w:t>
            </w:r>
          </w:p>
        </w:tc>
        <w:tc>
          <w:tcPr>
            <w:tcW w:w="1980" w:type="dxa"/>
          </w:tcPr>
          <w:p w14:paraId="024E188D" w14:textId="77777777" w:rsidR="00E16A21" w:rsidRPr="00033F16" w:rsidRDefault="00E16A21" w:rsidP="00A41396">
            <w:pPr>
              <w:suppressAutoHyphens/>
              <w:jc w:val="center"/>
              <w:rPr>
                <w:rFonts w:ascii="Times New Roman" w:eastAsia="Times New Roman" w:hAnsi="Times New Roman" w:cs="Times New Roman"/>
                <w:szCs w:val="20"/>
              </w:rPr>
            </w:pPr>
            <w:r w:rsidRPr="00033F16">
              <w:rPr>
                <w:rFonts w:ascii="Times New Roman" w:eastAsia="Times New Roman" w:hAnsi="Times New Roman" w:cs="Times New Roman"/>
                <w:szCs w:val="20"/>
              </w:rPr>
              <w:t>3 months</w:t>
            </w:r>
          </w:p>
        </w:tc>
      </w:tr>
      <w:tr w:rsidR="00E16A21" w:rsidRPr="00033F16" w14:paraId="327DAA8F" w14:textId="77777777" w:rsidTr="00043B37">
        <w:tc>
          <w:tcPr>
            <w:tcW w:w="510" w:type="dxa"/>
          </w:tcPr>
          <w:p w14:paraId="5AFE002F" w14:textId="77777777" w:rsidR="00E16A21" w:rsidRPr="00033F16" w:rsidRDefault="00E16A21" w:rsidP="00803F60">
            <w:pPr>
              <w:pStyle w:val="ListParagraph"/>
              <w:numPr>
                <w:ilvl w:val="0"/>
                <w:numId w:val="10"/>
              </w:numPr>
              <w:suppressAutoHyphens/>
              <w:jc w:val="both"/>
              <w:rPr>
                <w:rFonts w:ascii="Times New Roman" w:eastAsia="Times New Roman" w:hAnsi="Times New Roman" w:cs="Times New Roman"/>
                <w:szCs w:val="20"/>
              </w:rPr>
            </w:pPr>
          </w:p>
        </w:tc>
        <w:tc>
          <w:tcPr>
            <w:tcW w:w="6775" w:type="dxa"/>
          </w:tcPr>
          <w:p w14:paraId="5D59EAF9" w14:textId="77777777" w:rsidR="00E16A21" w:rsidRPr="00033F16" w:rsidRDefault="00E16A21" w:rsidP="00A41396">
            <w:pPr>
              <w:suppressAutoHyphens/>
              <w:jc w:val="both"/>
              <w:rPr>
                <w:rFonts w:ascii="Times New Roman" w:eastAsia="Times New Roman" w:hAnsi="Times New Roman" w:cs="Times New Roman"/>
                <w:szCs w:val="20"/>
              </w:rPr>
            </w:pPr>
            <w:r w:rsidRPr="00033F16">
              <w:rPr>
                <w:rFonts w:ascii="Times New Roman" w:eastAsia="Times New Roman" w:hAnsi="Times New Roman" w:cs="Times New Roman"/>
                <w:szCs w:val="20"/>
              </w:rPr>
              <w:t>1</w:t>
            </w:r>
            <w:r w:rsidRPr="00033F16">
              <w:rPr>
                <w:rFonts w:ascii="Times New Roman" w:eastAsia="Times New Roman" w:hAnsi="Times New Roman" w:cs="Times New Roman"/>
                <w:szCs w:val="20"/>
                <w:vertAlign w:val="superscript"/>
              </w:rPr>
              <w:t>st</w:t>
            </w:r>
            <w:r w:rsidRPr="00033F16">
              <w:rPr>
                <w:rFonts w:ascii="Times New Roman" w:eastAsia="Times New Roman" w:hAnsi="Times New Roman" w:cs="Times New Roman"/>
                <w:szCs w:val="20"/>
              </w:rPr>
              <w:t xml:space="preserve"> Quality Assurance Report</w:t>
            </w:r>
          </w:p>
        </w:tc>
        <w:tc>
          <w:tcPr>
            <w:tcW w:w="1980" w:type="dxa"/>
          </w:tcPr>
          <w:p w14:paraId="5D983031" w14:textId="77777777" w:rsidR="00E16A21" w:rsidRPr="00033F16" w:rsidRDefault="00E16A21" w:rsidP="00A41396">
            <w:pPr>
              <w:suppressAutoHyphens/>
              <w:jc w:val="center"/>
              <w:rPr>
                <w:rFonts w:ascii="Times New Roman" w:eastAsia="Times New Roman" w:hAnsi="Times New Roman" w:cs="Times New Roman"/>
                <w:szCs w:val="20"/>
              </w:rPr>
            </w:pPr>
            <w:r w:rsidRPr="00033F16">
              <w:rPr>
                <w:rFonts w:ascii="Times New Roman" w:eastAsia="Times New Roman" w:hAnsi="Times New Roman" w:cs="Times New Roman"/>
                <w:szCs w:val="20"/>
              </w:rPr>
              <w:t>2 weeks</w:t>
            </w:r>
          </w:p>
        </w:tc>
      </w:tr>
      <w:tr w:rsidR="00E16A21" w:rsidRPr="00033F16" w14:paraId="60325E7F" w14:textId="77777777" w:rsidTr="00043B37">
        <w:tc>
          <w:tcPr>
            <w:tcW w:w="510" w:type="dxa"/>
          </w:tcPr>
          <w:p w14:paraId="1A04F2DD" w14:textId="77777777" w:rsidR="00E16A21" w:rsidRPr="00033F16" w:rsidRDefault="00E16A21" w:rsidP="00803F60">
            <w:pPr>
              <w:pStyle w:val="ListParagraph"/>
              <w:numPr>
                <w:ilvl w:val="0"/>
                <w:numId w:val="10"/>
              </w:numPr>
              <w:suppressAutoHyphens/>
              <w:jc w:val="both"/>
              <w:rPr>
                <w:rFonts w:ascii="Times New Roman" w:eastAsia="Times New Roman" w:hAnsi="Times New Roman" w:cs="Times New Roman"/>
                <w:szCs w:val="20"/>
              </w:rPr>
            </w:pPr>
          </w:p>
        </w:tc>
        <w:tc>
          <w:tcPr>
            <w:tcW w:w="6775" w:type="dxa"/>
          </w:tcPr>
          <w:p w14:paraId="4AE5C3A1" w14:textId="77777777" w:rsidR="00E16A21" w:rsidRPr="00033F16" w:rsidRDefault="00E16A21" w:rsidP="00A41396">
            <w:pPr>
              <w:suppressAutoHyphens/>
              <w:jc w:val="both"/>
              <w:rPr>
                <w:rFonts w:ascii="Times New Roman" w:eastAsia="Times New Roman" w:hAnsi="Times New Roman" w:cs="Times New Roman"/>
                <w:szCs w:val="20"/>
              </w:rPr>
            </w:pPr>
            <w:r w:rsidRPr="00033F16">
              <w:rPr>
                <w:rFonts w:ascii="Times New Roman" w:eastAsia="Times New Roman" w:hAnsi="Times New Roman" w:cs="Times New Roman"/>
                <w:szCs w:val="20"/>
              </w:rPr>
              <w:t>2</w:t>
            </w:r>
            <w:r w:rsidRPr="00033F16">
              <w:rPr>
                <w:rFonts w:ascii="Times New Roman" w:eastAsia="Times New Roman" w:hAnsi="Times New Roman" w:cs="Times New Roman"/>
                <w:szCs w:val="20"/>
                <w:vertAlign w:val="superscript"/>
              </w:rPr>
              <w:t>nd</w:t>
            </w:r>
            <w:r w:rsidRPr="00033F16">
              <w:rPr>
                <w:rFonts w:ascii="Times New Roman" w:eastAsia="Times New Roman" w:hAnsi="Times New Roman" w:cs="Times New Roman"/>
                <w:szCs w:val="20"/>
              </w:rPr>
              <w:t xml:space="preserve"> Quality Assurance Report</w:t>
            </w:r>
          </w:p>
        </w:tc>
        <w:tc>
          <w:tcPr>
            <w:tcW w:w="1980" w:type="dxa"/>
          </w:tcPr>
          <w:p w14:paraId="6B8ECBEE" w14:textId="77777777" w:rsidR="00E16A21" w:rsidRPr="00033F16" w:rsidRDefault="00E16A21" w:rsidP="00A41396">
            <w:pPr>
              <w:suppressAutoHyphens/>
              <w:jc w:val="center"/>
              <w:rPr>
                <w:rFonts w:ascii="Times New Roman" w:eastAsia="Times New Roman" w:hAnsi="Times New Roman" w:cs="Times New Roman"/>
                <w:szCs w:val="20"/>
              </w:rPr>
            </w:pPr>
            <w:r w:rsidRPr="00033F16">
              <w:rPr>
                <w:rFonts w:ascii="Times New Roman" w:eastAsia="Times New Roman" w:hAnsi="Times New Roman" w:cs="Times New Roman"/>
                <w:szCs w:val="20"/>
              </w:rPr>
              <w:t>2 weeks</w:t>
            </w:r>
          </w:p>
        </w:tc>
      </w:tr>
      <w:tr w:rsidR="00E16A21" w:rsidRPr="00033F16" w14:paraId="173B3EEA" w14:textId="77777777" w:rsidTr="00043B37">
        <w:tc>
          <w:tcPr>
            <w:tcW w:w="510" w:type="dxa"/>
          </w:tcPr>
          <w:p w14:paraId="076023DA" w14:textId="77777777" w:rsidR="00E16A21" w:rsidRPr="00033F16" w:rsidRDefault="00E16A21" w:rsidP="00803F60">
            <w:pPr>
              <w:pStyle w:val="ListParagraph"/>
              <w:numPr>
                <w:ilvl w:val="0"/>
                <w:numId w:val="10"/>
              </w:numPr>
              <w:suppressAutoHyphens/>
              <w:jc w:val="both"/>
              <w:rPr>
                <w:rFonts w:ascii="Times New Roman" w:eastAsia="Times New Roman" w:hAnsi="Times New Roman" w:cs="Times New Roman"/>
                <w:szCs w:val="20"/>
              </w:rPr>
            </w:pPr>
          </w:p>
        </w:tc>
        <w:tc>
          <w:tcPr>
            <w:tcW w:w="6775" w:type="dxa"/>
          </w:tcPr>
          <w:p w14:paraId="0E4C2363" w14:textId="77777777" w:rsidR="00E16A21" w:rsidRPr="00033F16" w:rsidRDefault="00E16A21" w:rsidP="00A41396">
            <w:pPr>
              <w:suppressAutoHyphens/>
              <w:jc w:val="both"/>
              <w:rPr>
                <w:rFonts w:ascii="Times New Roman" w:eastAsia="Times New Roman" w:hAnsi="Times New Roman" w:cs="Times New Roman"/>
                <w:szCs w:val="20"/>
              </w:rPr>
            </w:pPr>
            <w:r w:rsidRPr="00033F16">
              <w:rPr>
                <w:rFonts w:ascii="Times New Roman" w:eastAsia="Times New Roman" w:hAnsi="Times New Roman" w:cs="Times New Roman"/>
                <w:szCs w:val="20"/>
              </w:rPr>
              <w:t>Post Implementation Review Report</w:t>
            </w:r>
          </w:p>
        </w:tc>
        <w:tc>
          <w:tcPr>
            <w:tcW w:w="1980" w:type="dxa"/>
          </w:tcPr>
          <w:p w14:paraId="19F6417E" w14:textId="77777777" w:rsidR="00E16A21" w:rsidRPr="00033F16" w:rsidRDefault="00E16A21" w:rsidP="00A41396">
            <w:pPr>
              <w:suppressAutoHyphens/>
              <w:jc w:val="center"/>
              <w:rPr>
                <w:rFonts w:ascii="Times New Roman" w:eastAsia="Times New Roman" w:hAnsi="Times New Roman" w:cs="Times New Roman"/>
                <w:szCs w:val="20"/>
              </w:rPr>
            </w:pPr>
            <w:r w:rsidRPr="00033F16">
              <w:rPr>
                <w:rFonts w:ascii="Times New Roman" w:eastAsia="Times New Roman" w:hAnsi="Times New Roman" w:cs="Times New Roman"/>
                <w:szCs w:val="20"/>
              </w:rPr>
              <w:t>1 month</w:t>
            </w:r>
          </w:p>
        </w:tc>
      </w:tr>
    </w:tbl>
    <w:p w14:paraId="56E95D11" w14:textId="77777777" w:rsidR="00E16A21" w:rsidRPr="00033F16" w:rsidRDefault="00E16A21" w:rsidP="00043B37">
      <w:pPr>
        <w:suppressAutoHyphens/>
        <w:ind w:left="540"/>
        <w:jc w:val="both"/>
        <w:rPr>
          <w:szCs w:val="20"/>
        </w:rPr>
      </w:pPr>
    </w:p>
    <w:p w14:paraId="51A428A5" w14:textId="77777777" w:rsidR="00E16A21" w:rsidRPr="00033F16" w:rsidRDefault="00E16A21" w:rsidP="00043B37">
      <w:pPr>
        <w:suppressAutoHyphens/>
        <w:ind w:left="540"/>
        <w:jc w:val="both"/>
        <w:rPr>
          <w:szCs w:val="20"/>
        </w:rPr>
      </w:pPr>
      <w:r w:rsidRPr="00033F16">
        <w:rPr>
          <w:szCs w:val="20"/>
        </w:rPr>
        <w:t>The project should preferably be broken into 3 phases, namely:</w:t>
      </w:r>
    </w:p>
    <w:p w14:paraId="21B8291F" w14:textId="77777777" w:rsidR="00E16A21" w:rsidRPr="00033F16" w:rsidRDefault="00E16A21" w:rsidP="00803F60">
      <w:pPr>
        <w:pStyle w:val="ListParagraph"/>
        <w:numPr>
          <w:ilvl w:val="0"/>
          <w:numId w:val="11"/>
        </w:numPr>
        <w:spacing w:before="120" w:after="120"/>
        <w:ind w:left="990" w:hanging="450"/>
        <w:jc w:val="both"/>
        <w:rPr>
          <w:szCs w:val="20"/>
        </w:rPr>
      </w:pPr>
      <w:r w:rsidRPr="00033F16">
        <w:rPr>
          <w:szCs w:val="20"/>
        </w:rPr>
        <w:t>Research and Environment Definition</w:t>
      </w:r>
    </w:p>
    <w:p w14:paraId="310E424F" w14:textId="77777777" w:rsidR="00E16A21" w:rsidRPr="00033F16" w:rsidRDefault="00E16A21" w:rsidP="00803F60">
      <w:pPr>
        <w:pStyle w:val="ListParagraph"/>
        <w:numPr>
          <w:ilvl w:val="0"/>
          <w:numId w:val="11"/>
        </w:numPr>
        <w:spacing w:before="120" w:after="120"/>
        <w:ind w:left="990" w:hanging="450"/>
        <w:jc w:val="both"/>
        <w:rPr>
          <w:szCs w:val="20"/>
        </w:rPr>
      </w:pPr>
      <w:r w:rsidRPr="00033F16">
        <w:rPr>
          <w:szCs w:val="20"/>
        </w:rPr>
        <w:t>Project Implementation</w:t>
      </w:r>
    </w:p>
    <w:p w14:paraId="0B12A572" w14:textId="77777777" w:rsidR="00E16A21" w:rsidRPr="00033F16" w:rsidRDefault="00E16A21" w:rsidP="00803F60">
      <w:pPr>
        <w:pStyle w:val="ListParagraph"/>
        <w:numPr>
          <w:ilvl w:val="0"/>
          <w:numId w:val="11"/>
        </w:numPr>
        <w:spacing w:before="120" w:after="120"/>
        <w:ind w:left="990" w:hanging="450"/>
        <w:jc w:val="both"/>
        <w:rPr>
          <w:szCs w:val="20"/>
        </w:rPr>
      </w:pPr>
      <w:r w:rsidRPr="00033F16">
        <w:rPr>
          <w:szCs w:val="20"/>
        </w:rPr>
        <w:t>Project Closure</w:t>
      </w:r>
    </w:p>
    <w:p w14:paraId="70A50855" w14:textId="1F0A3CA6" w:rsidR="003818F0" w:rsidRPr="00033F16" w:rsidRDefault="003818F0" w:rsidP="00796D1A">
      <w:pPr>
        <w:jc w:val="both"/>
        <w:rPr>
          <w:b/>
        </w:rPr>
      </w:pPr>
    </w:p>
    <w:p w14:paraId="23ABAE20" w14:textId="77777777" w:rsidR="000B09E4" w:rsidRPr="00033F16" w:rsidRDefault="000B09E4" w:rsidP="002046A7">
      <w:pPr>
        <w:ind w:left="720" w:hanging="720"/>
        <w:jc w:val="both"/>
        <w:rPr>
          <w:b/>
        </w:rPr>
      </w:pPr>
    </w:p>
    <w:p w14:paraId="063D9546" w14:textId="77777777" w:rsidR="00EF413E" w:rsidRPr="00033F16" w:rsidRDefault="003454D2" w:rsidP="00803F60">
      <w:pPr>
        <w:pStyle w:val="BankNormal"/>
        <w:numPr>
          <w:ilvl w:val="0"/>
          <w:numId w:val="1"/>
        </w:numPr>
        <w:spacing w:after="0"/>
        <w:ind w:left="540"/>
        <w:jc w:val="both"/>
        <w:rPr>
          <w:b/>
        </w:rPr>
      </w:pPr>
      <w:r w:rsidRPr="00033F16">
        <w:rPr>
          <w:b/>
        </w:rPr>
        <w:t>ELIGIBILITY AND SUBMISSION</w:t>
      </w:r>
    </w:p>
    <w:p w14:paraId="03946398" w14:textId="77777777" w:rsidR="00EF413E" w:rsidRPr="00033F16" w:rsidRDefault="00EF413E" w:rsidP="00EF413E">
      <w:pPr>
        <w:pStyle w:val="BankNormal"/>
        <w:spacing w:after="0"/>
        <w:ind w:left="540"/>
        <w:jc w:val="both"/>
      </w:pPr>
    </w:p>
    <w:p w14:paraId="6EBD646E" w14:textId="77777777" w:rsidR="00540715" w:rsidRPr="00033F16" w:rsidRDefault="00DE7B5F" w:rsidP="00803F60">
      <w:pPr>
        <w:pStyle w:val="BankNormal"/>
        <w:numPr>
          <w:ilvl w:val="1"/>
          <w:numId w:val="1"/>
        </w:numPr>
        <w:spacing w:after="0"/>
        <w:jc w:val="both"/>
      </w:pPr>
      <w:r w:rsidRPr="00033F16">
        <w:t>This</w:t>
      </w:r>
      <w:r w:rsidR="00A64FCD" w:rsidRPr="00033F16">
        <w:t xml:space="preserve"> Expression of Interest is open</w:t>
      </w:r>
      <w:r w:rsidR="000A7E57" w:rsidRPr="00033F16">
        <w:rPr>
          <w:color w:val="FF0000"/>
        </w:rPr>
        <w:t xml:space="preserve"> </w:t>
      </w:r>
      <w:r w:rsidR="000A7E57" w:rsidRPr="00033F16">
        <w:t>to</w:t>
      </w:r>
      <w:r w:rsidR="00A64FCD" w:rsidRPr="00033F16">
        <w:t xml:space="preserve"> </w:t>
      </w:r>
      <w:r w:rsidR="005414AB" w:rsidRPr="00033F16">
        <w:t xml:space="preserve">both </w:t>
      </w:r>
      <w:r w:rsidR="007C60E2" w:rsidRPr="00033F16">
        <w:t xml:space="preserve">Local </w:t>
      </w:r>
      <w:r w:rsidR="004E1253" w:rsidRPr="00033F16">
        <w:t xml:space="preserve">and International </w:t>
      </w:r>
      <w:r w:rsidR="005414AB" w:rsidRPr="00033F16">
        <w:t xml:space="preserve">Consultancy </w:t>
      </w:r>
      <w:r w:rsidR="000A7E57" w:rsidRPr="00033F16">
        <w:t>firms</w:t>
      </w:r>
      <w:r w:rsidR="005414AB" w:rsidRPr="00033F16">
        <w:t>;</w:t>
      </w:r>
    </w:p>
    <w:p w14:paraId="72C2C239" w14:textId="77777777" w:rsidR="00540715" w:rsidRPr="00033F16" w:rsidRDefault="00540715" w:rsidP="00540715">
      <w:pPr>
        <w:pStyle w:val="BankNormal"/>
        <w:spacing w:after="0"/>
        <w:ind w:left="1290"/>
        <w:jc w:val="both"/>
      </w:pPr>
    </w:p>
    <w:p w14:paraId="34A2050F" w14:textId="0452A696" w:rsidR="005B54C6" w:rsidRPr="00033F16" w:rsidRDefault="005B54C6" w:rsidP="00803F60">
      <w:pPr>
        <w:pStyle w:val="BankNormal"/>
        <w:numPr>
          <w:ilvl w:val="1"/>
          <w:numId w:val="1"/>
        </w:numPr>
        <w:spacing w:after="0"/>
        <w:jc w:val="both"/>
      </w:pPr>
      <w:r w:rsidRPr="00033F16">
        <w:t xml:space="preserve">Expressions of Interest clearly marked </w:t>
      </w:r>
      <w:r w:rsidRPr="00033F16">
        <w:rPr>
          <w:b/>
        </w:rPr>
        <w:t>“</w:t>
      </w:r>
      <w:r w:rsidR="00F2313F" w:rsidRPr="00033F16">
        <w:rPr>
          <w:b/>
          <w:color w:val="000000"/>
          <w:lang w:val="en-GB"/>
        </w:rPr>
        <w:t xml:space="preserve">EXPRESSION OF INTEREST FOR CONSULTANCY SERVICES </w:t>
      </w:r>
      <w:r w:rsidR="00043B37" w:rsidRPr="00033F16">
        <w:rPr>
          <w:b/>
          <w:bCs/>
          <w:szCs w:val="24"/>
        </w:rPr>
        <w:t>FOR THE DESIGN AND SUPERVISION OF THE IMPLEMENTATION OF A DATA WAREHOUSE SOLUTION WITH SUPERVISORY TECHNOLOGY CAPABILITIES</w:t>
      </w:r>
      <w:r w:rsidR="00043B37" w:rsidRPr="00033F16" w:rsidDel="00645F5E">
        <w:rPr>
          <w:b/>
          <w:bCs/>
          <w:szCs w:val="24"/>
        </w:rPr>
        <w:t xml:space="preserve"> </w:t>
      </w:r>
      <w:r w:rsidR="00E94B18" w:rsidRPr="00033F16">
        <w:rPr>
          <w:b/>
          <w:color w:val="000000"/>
        </w:rPr>
        <w:t>– BOZ/EOI/0</w:t>
      </w:r>
      <w:r w:rsidR="000B09E4" w:rsidRPr="00033F16">
        <w:rPr>
          <w:b/>
          <w:color w:val="000000"/>
        </w:rPr>
        <w:t>3</w:t>
      </w:r>
      <w:r w:rsidR="00540715" w:rsidRPr="00033F16">
        <w:rPr>
          <w:b/>
          <w:color w:val="000000"/>
        </w:rPr>
        <w:t>/202</w:t>
      </w:r>
      <w:r w:rsidR="000B09E4" w:rsidRPr="00033F16">
        <w:rPr>
          <w:b/>
          <w:color w:val="000000"/>
        </w:rPr>
        <w:t>2</w:t>
      </w:r>
      <w:r w:rsidR="00E94B18" w:rsidRPr="00033F16">
        <w:rPr>
          <w:b/>
          <w:color w:val="000000"/>
        </w:rPr>
        <w:t xml:space="preserve">” </w:t>
      </w:r>
      <w:r w:rsidRPr="00033F16">
        <w:t xml:space="preserve">must be </w:t>
      </w:r>
      <w:r w:rsidR="003323BC" w:rsidRPr="00033F16">
        <w:t xml:space="preserve">uploaded on the e-GP system </w:t>
      </w:r>
      <w:r w:rsidRPr="00033F16">
        <w:t xml:space="preserve">on or before </w:t>
      </w:r>
      <w:r w:rsidR="00151E77" w:rsidRPr="00033F16">
        <w:t xml:space="preserve">Wednesday, </w:t>
      </w:r>
      <w:r w:rsidR="008870FB">
        <w:t>13</w:t>
      </w:r>
      <w:r w:rsidR="002C089B" w:rsidRPr="002C089B">
        <w:rPr>
          <w:vertAlign w:val="superscript"/>
        </w:rPr>
        <w:t>th</w:t>
      </w:r>
      <w:r w:rsidR="002C089B">
        <w:t xml:space="preserve"> </w:t>
      </w:r>
      <w:r w:rsidR="008870FB">
        <w:t xml:space="preserve"> July</w:t>
      </w:r>
      <w:r w:rsidR="000B09E4" w:rsidRPr="00033F16">
        <w:t xml:space="preserve"> 2022</w:t>
      </w:r>
      <w:r w:rsidR="00E12124" w:rsidRPr="00033F16">
        <w:rPr>
          <w:b/>
        </w:rPr>
        <w:t xml:space="preserve"> </w:t>
      </w:r>
      <w:r w:rsidR="00AA7E50" w:rsidRPr="00033F16">
        <w:rPr>
          <w:b/>
        </w:rPr>
        <w:t>at 10:00hrs</w:t>
      </w:r>
      <w:r w:rsidR="00CB7EB5" w:rsidRPr="00033F16">
        <w:rPr>
          <w:b/>
        </w:rPr>
        <w:t xml:space="preserve"> </w:t>
      </w:r>
      <w:r w:rsidR="003323BC" w:rsidRPr="00033F16">
        <w:rPr>
          <w:b/>
        </w:rPr>
        <w:t xml:space="preserve">system </w:t>
      </w:r>
      <w:r w:rsidR="00CB7EB5" w:rsidRPr="00033F16">
        <w:rPr>
          <w:b/>
        </w:rPr>
        <w:t>time</w:t>
      </w:r>
      <w:r w:rsidR="00AE7784" w:rsidRPr="00033F16">
        <w:t>.</w:t>
      </w:r>
      <w:r w:rsidR="00AC0841" w:rsidRPr="00033F16">
        <w:t xml:space="preserve"> Expressions</w:t>
      </w:r>
      <w:r w:rsidRPr="00033F16">
        <w:t xml:space="preserve"> of Interest will be </w:t>
      </w:r>
      <w:r w:rsidR="003323BC" w:rsidRPr="00033F16">
        <w:t xml:space="preserve">unlocked at </w:t>
      </w:r>
      <w:r w:rsidR="003323BC" w:rsidRPr="00033F16">
        <w:rPr>
          <w:b/>
        </w:rPr>
        <w:t>10:30hrs system time</w:t>
      </w:r>
      <w:r w:rsidR="003323BC" w:rsidRPr="00033F16">
        <w:t xml:space="preserve"> </w:t>
      </w:r>
      <w:r w:rsidRPr="00033F16">
        <w:t xml:space="preserve">in the presence of </w:t>
      </w:r>
      <w:r w:rsidR="00B02EC7" w:rsidRPr="00033F16">
        <w:t>interested</w:t>
      </w:r>
      <w:r w:rsidR="00997E2D" w:rsidRPr="00033F16">
        <w:t xml:space="preserve"> </w:t>
      </w:r>
      <w:r w:rsidR="00AE7784" w:rsidRPr="00033F16">
        <w:t>consultants</w:t>
      </w:r>
      <w:r w:rsidRPr="00033F16">
        <w:t xml:space="preserve"> or their representatives who choose to attend.</w:t>
      </w:r>
    </w:p>
    <w:p w14:paraId="5A112077" w14:textId="77777777" w:rsidR="005B54C6" w:rsidRPr="00033F16" w:rsidRDefault="005B54C6" w:rsidP="005B54C6">
      <w:pPr>
        <w:ind w:firstLine="720"/>
        <w:jc w:val="both"/>
      </w:pPr>
    </w:p>
    <w:p w14:paraId="5E176672" w14:textId="77777777" w:rsidR="00BA32E7" w:rsidRPr="00033F16" w:rsidRDefault="00BA32E7" w:rsidP="00311221">
      <w:pPr>
        <w:jc w:val="both"/>
      </w:pPr>
    </w:p>
    <w:p w14:paraId="42C20EDD" w14:textId="77777777" w:rsidR="005B54C6" w:rsidRPr="00033F16" w:rsidRDefault="005B54C6" w:rsidP="003454D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tLeast"/>
        <w:ind w:left="2010" w:right="334" w:hanging="720"/>
        <w:jc w:val="both"/>
      </w:pPr>
      <w:r w:rsidRPr="00033F16">
        <w:lastRenderedPageBreak/>
        <w:t>Director-Procurement and Maintenance Services</w:t>
      </w:r>
    </w:p>
    <w:p w14:paraId="29C0F9E5" w14:textId="77777777" w:rsidR="005B54C6" w:rsidRPr="00033F16" w:rsidRDefault="005B54C6" w:rsidP="003454D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tLeast"/>
        <w:ind w:left="2010" w:right="334" w:hanging="720"/>
        <w:jc w:val="both"/>
      </w:pPr>
      <w:r w:rsidRPr="00033F16">
        <w:t>Bank of Zambia</w:t>
      </w:r>
      <w:r w:rsidR="00B96BCF" w:rsidRPr="00033F16">
        <w:t xml:space="preserve">, </w:t>
      </w:r>
      <w:r w:rsidRPr="00033F16">
        <w:t>Bank Square</w:t>
      </w:r>
    </w:p>
    <w:p w14:paraId="6B3F9636" w14:textId="77777777" w:rsidR="005B54C6" w:rsidRPr="00033F16" w:rsidRDefault="005B54C6" w:rsidP="003454D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tLeast"/>
        <w:ind w:left="2010" w:right="334" w:hanging="720"/>
        <w:jc w:val="both"/>
      </w:pPr>
      <w:r w:rsidRPr="00033F16">
        <w:t>Cairo Road,</w:t>
      </w:r>
    </w:p>
    <w:p w14:paraId="01729586" w14:textId="77777777" w:rsidR="00A64FCD" w:rsidRPr="00033F16" w:rsidRDefault="00DE7B5F" w:rsidP="003454D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tLeast"/>
        <w:ind w:left="2010" w:right="334" w:hanging="720"/>
        <w:jc w:val="both"/>
      </w:pPr>
      <w:r w:rsidRPr="00033F16">
        <w:t>7</w:t>
      </w:r>
      <w:r w:rsidRPr="00033F16">
        <w:rPr>
          <w:vertAlign w:val="superscript"/>
        </w:rPr>
        <w:t>th</w:t>
      </w:r>
      <w:r w:rsidRPr="00033F16">
        <w:t xml:space="preserve"> </w:t>
      </w:r>
      <w:r w:rsidR="00A64FCD" w:rsidRPr="00033F16">
        <w:t xml:space="preserve">Floor, </w:t>
      </w:r>
      <w:r w:rsidRPr="00033F16">
        <w:t xml:space="preserve">Annex </w:t>
      </w:r>
      <w:r w:rsidR="00A64FCD" w:rsidRPr="00033F16">
        <w:t>Building</w:t>
      </w:r>
    </w:p>
    <w:p w14:paraId="23DEEB8E" w14:textId="77777777" w:rsidR="005B54C6" w:rsidRPr="00033F16" w:rsidRDefault="005B54C6" w:rsidP="003454D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tLeast"/>
        <w:ind w:left="2010" w:right="334" w:hanging="720"/>
        <w:jc w:val="both"/>
      </w:pPr>
      <w:r w:rsidRPr="00033F16">
        <w:t>P.O. Box 30080</w:t>
      </w:r>
    </w:p>
    <w:p w14:paraId="39FF7111" w14:textId="204268C2" w:rsidR="005B54C6" w:rsidRPr="00033F16" w:rsidRDefault="003454D2" w:rsidP="00BA32E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tLeast"/>
        <w:ind w:left="1287" w:right="334" w:hanging="720"/>
        <w:jc w:val="both"/>
        <w:rPr>
          <w:b/>
        </w:rPr>
      </w:pPr>
      <w:r w:rsidRPr="00033F16">
        <w:rPr>
          <w:b/>
        </w:rPr>
        <w:tab/>
      </w:r>
      <w:r w:rsidRPr="00033F16">
        <w:rPr>
          <w:b/>
        </w:rPr>
        <w:tab/>
      </w:r>
      <w:r w:rsidR="005B54C6" w:rsidRPr="00033F16">
        <w:rPr>
          <w:b/>
        </w:rPr>
        <w:t>LUSAKA</w:t>
      </w:r>
    </w:p>
    <w:p w14:paraId="2EB9A5C8" w14:textId="77777777" w:rsidR="00796D1A" w:rsidRPr="00033F16" w:rsidRDefault="00796D1A" w:rsidP="00BA32E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tLeast"/>
        <w:ind w:left="1287" w:right="334" w:hanging="720"/>
        <w:jc w:val="both"/>
        <w:rPr>
          <w:b/>
        </w:rPr>
      </w:pPr>
    </w:p>
    <w:sectPr w:rsidR="00796D1A" w:rsidRPr="00033F16" w:rsidSect="00E40E67">
      <w:footerReference w:type="even" r:id="rId9"/>
      <w:footerReference w:type="default" r:id="rId10"/>
      <w:pgSz w:w="12240" w:h="15840"/>
      <w:pgMar w:top="993" w:right="1325"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AAACD" w14:textId="77777777" w:rsidR="00A55A93" w:rsidRDefault="00A55A93" w:rsidP="00F1106C">
      <w:r>
        <w:separator/>
      </w:r>
    </w:p>
  </w:endnote>
  <w:endnote w:type="continuationSeparator" w:id="0">
    <w:p w14:paraId="6D4A0804" w14:textId="77777777" w:rsidR="00A55A93" w:rsidRDefault="00A55A93" w:rsidP="00F1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E486" w14:textId="77777777" w:rsidR="004B0948" w:rsidRDefault="004B0948" w:rsidP="004925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EDDF10" w14:textId="77777777" w:rsidR="004B0948" w:rsidRDefault="004B0948" w:rsidP="004925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10B8" w14:textId="77777777" w:rsidR="004B0948" w:rsidRDefault="004B0948" w:rsidP="004925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CA088" w14:textId="77777777" w:rsidR="00A55A93" w:rsidRDefault="00A55A93" w:rsidP="00F1106C">
      <w:r>
        <w:separator/>
      </w:r>
    </w:p>
  </w:footnote>
  <w:footnote w:type="continuationSeparator" w:id="0">
    <w:p w14:paraId="595095C9" w14:textId="77777777" w:rsidR="00A55A93" w:rsidRDefault="00A55A93" w:rsidP="00F11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028F"/>
    <w:multiLevelType w:val="hybridMultilevel"/>
    <w:tmpl w:val="CA6635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115E4"/>
    <w:multiLevelType w:val="hybridMultilevel"/>
    <w:tmpl w:val="BD8E8D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0975B46"/>
    <w:multiLevelType w:val="hybridMultilevel"/>
    <w:tmpl w:val="D51C37FE"/>
    <w:lvl w:ilvl="0" w:tplc="9C165F50">
      <w:start w:val="1"/>
      <w:numFmt w:val="lowerRoman"/>
      <w:lvlText w:val="%1."/>
      <w:lvlJc w:val="right"/>
      <w:pPr>
        <w:ind w:left="1260" w:hanging="360"/>
      </w:pPr>
      <w:rPr>
        <w:b w:val="0"/>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3AA04CA2"/>
    <w:multiLevelType w:val="multilevel"/>
    <w:tmpl w:val="D6FE6166"/>
    <w:lvl w:ilvl="0">
      <w:numFmt w:val="decimal"/>
      <w:pStyle w:val="PeragoAnswerBullet"/>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12F4D00"/>
    <w:multiLevelType w:val="hybridMultilevel"/>
    <w:tmpl w:val="6C5C9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064FCD"/>
    <w:multiLevelType w:val="hybridMultilevel"/>
    <w:tmpl w:val="4D58ACAC"/>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59501B"/>
    <w:multiLevelType w:val="hybridMultilevel"/>
    <w:tmpl w:val="3ADA0DF2"/>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B9064B3"/>
    <w:multiLevelType w:val="hybridMultilevel"/>
    <w:tmpl w:val="FF7A84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F587340"/>
    <w:multiLevelType w:val="multilevel"/>
    <w:tmpl w:val="97BEF230"/>
    <w:lvl w:ilvl="0">
      <w:start w:val="1"/>
      <w:numFmt w:val="decimal"/>
      <w:lvlText w:val="%1.0"/>
      <w:lvlJc w:val="left"/>
      <w:pPr>
        <w:ind w:left="930" w:hanging="570"/>
      </w:pPr>
      <w:rPr>
        <w:rFonts w:hint="default"/>
      </w:rPr>
    </w:lvl>
    <w:lvl w:ilvl="1">
      <w:start w:val="1"/>
      <w:numFmt w:val="decimal"/>
      <w:lvlText w:val="%1.%2"/>
      <w:lvlJc w:val="left"/>
      <w:pPr>
        <w:ind w:left="1290" w:hanging="57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FB034AC"/>
    <w:multiLevelType w:val="hybridMultilevel"/>
    <w:tmpl w:val="57F244BC"/>
    <w:lvl w:ilvl="0" w:tplc="CD3297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D721E1"/>
    <w:multiLevelType w:val="hybridMultilevel"/>
    <w:tmpl w:val="F196BD1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6A6C0D56"/>
    <w:multiLevelType w:val="hybridMultilevel"/>
    <w:tmpl w:val="AE28B23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BA86D3A"/>
    <w:multiLevelType w:val="hybridMultilevel"/>
    <w:tmpl w:val="F72CF54E"/>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9187104">
    <w:abstractNumId w:val="8"/>
  </w:num>
  <w:num w:numId="2" w16cid:durableId="1289045812">
    <w:abstractNumId w:val="4"/>
  </w:num>
  <w:num w:numId="3" w16cid:durableId="1422797843">
    <w:abstractNumId w:val="3"/>
  </w:num>
  <w:num w:numId="4" w16cid:durableId="1367802003">
    <w:abstractNumId w:val="0"/>
  </w:num>
  <w:num w:numId="5" w16cid:durableId="42874358">
    <w:abstractNumId w:val="11"/>
  </w:num>
  <w:num w:numId="6" w16cid:durableId="937131444">
    <w:abstractNumId w:val="2"/>
  </w:num>
  <w:num w:numId="7" w16cid:durableId="645352899">
    <w:abstractNumId w:val="6"/>
  </w:num>
  <w:num w:numId="8" w16cid:durableId="1463645957">
    <w:abstractNumId w:val="1"/>
  </w:num>
  <w:num w:numId="9" w16cid:durableId="1603801899">
    <w:abstractNumId w:val="12"/>
  </w:num>
  <w:num w:numId="10" w16cid:durableId="1314943904">
    <w:abstractNumId w:val="7"/>
  </w:num>
  <w:num w:numId="11" w16cid:durableId="1597908464">
    <w:abstractNumId w:val="9"/>
  </w:num>
  <w:num w:numId="12" w16cid:durableId="2111316654">
    <w:abstractNumId w:val="10"/>
  </w:num>
  <w:num w:numId="13" w16cid:durableId="36563802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677"/>
    <w:rsid w:val="0000788F"/>
    <w:rsid w:val="00007E1F"/>
    <w:rsid w:val="00013525"/>
    <w:rsid w:val="00023798"/>
    <w:rsid w:val="000262F1"/>
    <w:rsid w:val="00032821"/>
    <w:rsid w:val="00033F16"/>
    <w:rsid w:val="00041C12"/>
    <w:rsid w:val="00043327"/>
    <w:rsid w:val="00043B37"/>
    <w:rsid w:val="0004643F"/>
    <w:rsid w:val="0004722D"/>
    <w:rsid w:val="00047B8D"/>
    <w:rsid w:val="00061E1D"/>
    <w:rsid w:val="00065688"/>
    <w:rsid w:val="00065F7F"/>
    <w:rsid w:val="00067C95"/>
    <w:rsid w:val="0009152B"/>
    <w:rsid w:val="000A09B5"/>
    <w:rsid w:val="000A3156"/>
    <w:rsid w:val="000A3E50"/>
    <w:rsid w:val="000A5D2B"/>
    <w:rsid w:val="000A7E57"/>
    <w:rsid w:val="000B09E4"/>
    <w:rsid w:val="000B6432"/>
    <w:rsid w:val="000C116B"/>
    <w:rsid w:val="000D24C0"/>
    <w:rsid w:val="000D43CC"/>
    <w:rsid w:val="000D4E43"/>
    <w:rsid w:val="000D6144"/>
    <w:rsid w:val="000E6A28"/>
    <w:rsid w:val="000F4D1A"/>
    <w:rsid w:val="000F659C"/>
    <w:rsid w:val="000F7C3C"/>
    <w:rsid w:val="00101766"/>
    <w:rsid w:val="00114CC1"/>
    <w:rsid w:val="00115795"/>
    <w:rsid w:val="00132B1A"/>
    <w:rsid w:val="001449AC"/>
    <w:rsid w:val="00151E77"/>
    <w:rsid w:val="00152D5E"/>
    <w:rsid w:val="001567A1"/>
    <w:rsid w:val="001729B7"/>
    <w:rsid w:val="001732B6"/>
    <w:rsid w:val="00173B79"/>
    <w:rsid w:val="00177AF9"/>
    <w:rsid w:val="00184587"/>
    <w:rsid w:val="00187F13"/>
    <w:rsid w:val="00194234"/>
    <w:rsid w:val="001A01AB"/>
    <w:rsid w:val="001A3FC4"/>
    <w:rsid w:val="001A7759"/>
    <w:rsid w:val="001B233B"/>
    <w:rsid w:val="001B674A"/>
    <w:rsid w:val="001C24F8"/>
    <w:rsid w:val="001D1A21"/>
    <w:rsid w:val="001D7A86"/>
    <w:rsid w:val="001E1A1D"/>
    <w:rsid w:val="001E74ED"/>
    <w:rsid w:val="001E76F6"/>
    <w:rsid w:val="001F6A6C"/>
    <w:rsid w:val="002046A7"/>
    <w:rsid w:val="002071D5"/>
    <w:rsid w:val="00210945"/>
    <w:rsid w:val="0022247E"/>
    <w:rsid w:val="002225CB"/>
    <w:rsid w:val="00224974"/>
    <w:rsid w:val="002316F2"/>
    <w:rsid w:val="002439A8"/>
    <w:rsid w:val="00244C05"/>
    <w:rsid w:val="00244E98"/>
    <w:rsid w:val="00245950"/>
    <w:rsid w:val="0025120B"/>
    <w:rsid w:val="00257F84"/>
    <w:rsid w:val="0026428C"/>
    <w:rsid w:val="00265C99"/>
    <w:rsid w:val="002677A4"/>
    <w:rsid w:val="00285589"/>
    <w:rsid w:val="00285E61"/>
    <w:rsid w:val="0029151E"/>
    <w:rsid w:val="00293813"/>
    <w:rsid w:val="00296DE7"/>
    <w:rsid w:val="00297B28"/>
    <w:rsid w:val="002A5550"/>
    <w:rsid w:val="002B0FAE"/>
    <w:rsid w:val="002B4698"/>
    <w:rsid w:val="002B4DF2"/>
    <w:rsid w:val="002C089B"/>
    <w:rsid w:val="002C1D0B"/>
    <w:rsid w:val="002D0618"/>
    <w:rsid w:val="002D2AF1"/>
    <w:rsid w:val="002D7EA8"/>
    <w:rsid w:val="002E3C1C"/>
    <w:rsid w:val="002E7C06"/>
    <w:rsid w:val="002F0E0B"/>
    <w:rsid w:val="002F2BA1"/>
    <w:rsid w:val="003014EF"/>
    <w:rsid w:val="0030557B"/>
    <w:rsid w:val="00307087"/>
    <w:rsid w:val="003077F6"/>
    <w:rsid w:val="00311221"/>
    <w:rsid w:val="00312AD3"/>
    <w:rsid w:val="00315769"/>
    <w:rsid w:val="00315F5C"/>
    <w:rsid w:val="00316046"/>
    <w:rsid w:val="003177D1"/>
    <w:rsid w:val="003323BC"/>
    <w:rsid w:val="003454D2"/>
    <w:rsid w:val="00346D8B"/>
    <w:rsid w:val="00350AA5"/>
    <w:rsid w:val="003540C3"/>
    <w:rsid w:val="0035688E"/>
    <w:rsid w:val="0036170F"/>
    <w:rsid w:val="003619AB"/>
    <w:rsid w:val="00365303"/>
    <w:rsid w:val="0036542E"/>
    <w:rsid w:val="00370625"/>
    <w:rsid w:val="003728DC"/>
    <w:rsid w:val="003801B4"/>
    <w:rsid w:val="0038187F"/>
    <w:rsid w:val="003818F0"/>
    <w:rsid w:val="00385A80"/>
    <w:rsid w:val="00386A4B"/>
    <w:rsid w:val="00394350"/>
    <w:rsid w:val="00395677"/>
    <w:rsid w:val="003976D2"/>
    <w:rsid w:val="00397D4C"/>
    <w:rsid w:val="003B17E9"/>
    <w:rsid w:val="003B2BF5"/>
    <w:rsid w:val="003C34E3"/>
    <w:rsid w:val="003D40C6"/>
    <w:rsid w:val="003D5A67"/>
    <w:rsid w:val="003D6E4B"/>
    <w:rsid w:val="003E13A6"/>
    <w:rsid w:val="003E1A51"/>
    <w:rsid w:val="003E1F5C"/>
    <w:rsid w:val="003E4C28"/>
    <w:rsid w:val="004025DF"/>
    <w:rsid w:val="00403203"/>
    <w:rsid w:val="004073F7"/>
    <w:rsid w:val="004176A4"/>
    <w:rsid w:val="004250E1"/>
    <w:rsid w:val="00427BBA"/>
    <w:rsid w:val="00431D73"/>
    <w:rsid w:val="00435C99"/>
    <w:rsid w:val="00437F83"/>
    <w:rsid w:val="00445DBF"/>
    <w:rsid w:val="004511E9"/>
    <w:rsid w:val="004554BE"/>
    <w:rsid w:val="00455AE4"/>
    <w:rsid w:val="00460E78"/>
    <w:rsid w:val="004677E4"/>
    <w:rsid w:val="00472BEB"/>
    <w:rsid w:val="00473AC8"/>
    <w:rsid w:val="0047588A"/>
    <w:rsid w:val="00476DEC"/>
    <w:rsid w:val="00480960"/>
    <w:rsid w:val="00482876"/>
    <w:rsid w:val="004835CB"/>
    <w:rsid w:val="00483A69"/>
    <w:rsid w:val="00485A45"/>
    <w:rsid w:val="0049182C"/>
    <w:rsid w:val="00492581"/>
    <w:rsid w:val="00494C4A"/>
    <w:rsid w:val="004A12D5"/>
    <w:rsid w:val="004A1A0D"/>
    <w:rsid w:val="004A3BB9"/>
    <w:rsid w:val="004A5220"/>
    <w:rsid w:val="004A544D"/>
    <w:rsid w:val="004B0948"/>
    <w:rsid w:val="004B3A34"/>
    <w:rsid w:val="004C682D"/>
    <w:rsid w:val="004D2477"/>
    <w:rsid w:val="004E1253"/>
    <w:rsid w:val="004E484B"/>
    <w:rsid w:val="004F270F"/>
    <w:rsid w:val="00512370"/>
    <w:rsid w:val="00531642"/>
    <w:rsid w:val="00540715"/>
    <w:rsid w:val="005414AB"/>
    <w:rsid w:val="00544C31"/>
    <w:rsid w:val="005514FA"/>
    <w:rsid w:val="00553397"/>
    <w:rsid w:val="0055627F"/>
    <w:rsid w:val="005623B7"/>
    <w:rsid w:val="00563040"/>
    <w:rsid w:val="0056673D"/>
    <w:rsid w:val="005709E3"/>
    <w:rsid w:val="00572963"/>
    <w:rsid w:val="00581236"/>
    <w:rsid w:val="005972F4"/>
    <w:rsid w:val="005A40AA"/>
    <w:rsid w:val="005A4589"/>
    <w:rsid w:val="005A78FB"/>
    <w:rsid w:val="005B1A01"/>
    <w:rsid w:val="005B54C6"/>
    <w:rsid w:val="005B779F"/>
    <w:rsid w:val="005C16D2"/>
    <w:rsid w:val="005C3324"/>
    <w:rsid w:val="005C6D86"/>
    <w:rsid w:val="005C774B"/>
    <w:rsid w:val="005D04AB"/>
    <w:rsid w:val="005D1C88"/>
    <w:rsid w:val="005E07E6"/>
    <w:rsid w:val="005E486D"/>
    <w:rsid w:val="005E53DF"/>
    <w:rsid w:val="00613C90"/>
    <w:rsid w:val="00613CAC"/>
    <w:rsid w:val="006205AA"/>
    <w:rsid w:val="00621EA7"/>
    <w:rsid w:val="00622B27"/>
    <w:rsid w:val="00623022"/>
    <w:rsid w:val="00626886"/>
    <w:rsid w:val="0063123E"/>
    <w:rsid w:val="0063184B"/>
    <w:rsid w:val="006323F9"/>
    <w:rsid w:val="00634F0D"/>
    <w:rsid w:val="0064072A"/>
    <w:rsid w:val="00640EDA"/>
    <w:rsid w:val="0064228B"/>
    <w:rsid w:val="0065388E"/>
    <w:rsid w:val="006548E1"/>
    <w:rsid w:val="00663ED7"/>
    <w:rsid w:val="00666CBF"/>
    <w:rsid w:val="006707F7"/>
    <w:rsid w:val="006712B4"/>
    <w:rsid w:val="00672447"/>
    <w:rsid w:val="00674A27"/>
    <w:rsid w:val="00682853"/>
    <w:rsid w:val="006916A0"/>
    <w:rsid w:val="006926F8"/>
    <w:rsid w:val="00697327"/>
    <w:rsid w:val="006A0FB2"/>
    <w:rsid w:val="006A1939"/>
    <w:rsid w:val="006B4441"/>
    <w:rsid w:val="006C220F"/>
    <w:rsid w:val="006C3B7D"/>
    <w:rsid w:val="006C413C"/>
    <w:rsid w:val="006C5D24"/>
    <w:rsid w:val="006C7FB2"/>
    <w:rsid w:val="006D1A6C"/>
    <w:rsid w:val="006D2DDB"/>
    <w:rsid w:val="006D4461"/>
    <w:rsid w:val="006E035B"/>
    <w:rsid w:val="006E416F"/>
    <w:rsid w:val="006E5CA1"/>
    <w:rsid w:val="006F0CB0"/>
    <w:rsid w:val="006F1467"/>
    <w:rsid w:val="006F184F"/>
    <w:rsid w:val="006F7DEB"/>
    <w:rsid w:val="0070008C"/>
    <w:rsid w:val="00701760"/>
    <w:rsid w:val="00704E8A"/>
    <w:rsid w:val="00711F22"/>
    <w:rsid w:val="007138A1"/>
    <w:rsid w:val="00714BFF"/>
    <w:rsid w:val="00725F3C"/>
    <w:rsid w:val="0073161A"/>
    <w:rsid w:val="0074660D"/>
    <w:rsid w:val="00750C3A"/>
    <w:rsid w:val="007571C1"/>
    <w:rsid w:val="00761504"/>
    <w:rsid w:val="00763E2A"/>
    <w:rsid w:val="0076711B"/>
    <w:rsid w:val="00776876"/>
    <w:rsid w:val="00777DA4"/>
    <w:rsid w:val="0078073C"/>
    <w:rsid w:val="00780E66"/>
    <w:rsid w:val="007853C8"/>
    <w:rsid w:val="00787E40"/>
    <w:rsid w:val="00794DA7"/>
    <w:rsid w:val="00794EC3"/>
    <w:rsid w:val="00796D1A"/>
    <w:rsid w:val="007A1EB5"/>
    <w:rsid w:val="007A2D62"/>
    <w:rsid w:val="007A5D6B"/>
    <w:rsid w:val="007B0390"/>
    <w:rsid w:val="007B2A62"/>
    <w:rsid w:val="007B451E"/>
    <w:rsid w:val="007B514A"/>
    <w:rsid w:val="007B6B76"/>
    <w:rsid w:val="007C60E2"/>
    <w:rsid w:val="007D7324"/>
    <w:rsid w:val="007E31C7"/>
    <w:rsid w:val="007F755A"/>
    <w:rsid w:val="007F794A"/>
    <w:rsid w:val="00801B58"/>
    <w:rsid w:val="00803F60"/>
    <w:rsid w:val="0080590B"/>
    <w:rsid w:val="00807B35"/>
    <w:rsid w:val="00810E93"/>
    <w:rsid w:val="00816C2D"/>
    <w:rsid w:val="00820807"/>
    <w:rsid w:val="00825E4A"/>
    <w:rsid w:val="00830449"/>
    <w:rsid w:val="00834404"/>
    <w:rsid w:val="008355F6"/>
    <w:rsid w:val="00835793"/>
    <w:rsid w:val="008400B0"/>
    <w:rsid w:val="008504BF"/>
    <w:rsid w:val="00850F4D"/>
    <w:rsid w:val="008510F7"/>
    <w:rsid w:val="00875BB0"/>
    <w:rsid w:val="00876D5B"/>
    <w:rsid w:val="00881833"/>
    <w:rsid w:val="00882208"/>
    <w:rsid w:val="00884D41"/>
    <w:rsid w:val="0088693F"/>
    <w:rsid w:val="00887094"/>
    <w:rsid w:val="008870FB"/>
    <w:rsid w:val="0089332F"/>
    <w:rsid w:val="008A36A5"/>
    <w:rsid w:val="008B285A"/>
    <w:rsid w:val="008B478B"/>
    <w:rsid w:val="008D5574"/>
    <w:rsid w:val="008E5A75"/>
    <w:rsid w:val="008F05E8"/>
    <w:rsid w:val="008F35D1"/>
    <w:rsid w:val="008F536A"/>
    <w:rsid w:val="00911EFC"/>
    <w:rsid w:val="00917BE2"/>
    <w:rsid w:val="00920D90"/>
    <w:rsid w:val="00921E3F"/>
    <w:rsid w:val="00925D95"/>
    <w:rsid w:val="009339B9"/>
    <w:rsid w:val="00935831"/>
    <w:rsid w:val="00943698"/>
    <w:rsid w:val="0094467A"/>
    <w:rsid w:val="0095315F"/>
    <w:rsid w:val="00962619"/>
    <w:rsid w:val="00965DC9"/>
    <w:rsid w:val="00971B90"/>
    <w:rsid w:val="00983721"/>
    <w:rsid w:val="00984B81"/>
    <w:rsid w:val="00990F1C"/>
    <w:rsid w:val="009925A3"/>
    <w:rsid w:val="009963DE"/>
    <w:rsid w:val="00997E2D"/>
    <w:rsid w:val="009A05CD"/>
    <w:rsid w:val="009A41DB"/>
    <w:rsid w:val="009B2DF5"/>
    <w:rsid w:val="009B647C"/>
    <w:rsid w:val="009B722A"/>
    <w:rsid w:val="009C03B8"/>
    <w:rsid w:val="009C1EE7"/>
    <w:rsid w:val="009C343C"/>
    <w:rsid w:val="009C4511"/>
    <w:rsid w:val="009D188A"/>
    <w:rsid w:val="009D1D56"/>
    <w:rsid w:val="009D4DC7"/>
    <w:rsid w:val="009E1FBA"/>
    <w:rsid w:val="009F405D"/>
    <w:rsid w:val="009F620C"/>
    <w:rsid w:val="009F7182"/>
    <w:rsid w:val="00A00AC6"/>
    <w:rsid w:val="00A049AD"/>
    <w:rsid w:val="00A12C41"/>
    <w:rsid w:val="00A12EDC"/>
    <w:rsid w:val="00A16C03"/>
    <w:rsid w:val="00A1722A"/>
    <w:rsid w:val="00A2154F"/>
    <w:rsid w:val="00A35837"/>
    <w:rsid w:val="00A42CB5"/>
    <w:rsid w:val="00A46FB9"/>
    <w:rsid w:val="00A55A93"/>
    <w:rsid w:val="00A630B8"/>
    <w:rsid w:val="00A64FCD"/>
    <w:rsid w:val="00A6507A"/>
    <w:rsid w:val="00A6724F"/>
    <w:rsid w:val="00A7161F"/>
    <w:rsid w:val="00A80424"/>
    <w:rsid w:val="00A80A1A"/>
    <w:rsid w:val="00A8748B"/>
    <w:rsid w:val="00A952BE"/>
    <w:rsid w:val="00AA1190"/>
    <w:rsid w:val="00AA7E50"/>
    <w:rsid w:val="00AB7CCA"/>
    <w:rsid w:val="00AC0841"/>
    <w:rsid w:val="00AC35A7"/>
    <w:rsid w:val="00AD327C"/>
    <w:rsid w:val="00AE16A5"/>
    <w:rsid w:val="00AE7784"/>
    <w:rsid w:val="00AF434C"/>
    <w:rsid w:val="00AF6C58"/>
    <w:rsid w:val="00AF746C"/>
    <w:rsid w:val="00B00EA9"/>
    <w:rsid w:val="00B012F7"/>
    <w:rsid w:val="00B017FF"/>
    <w:rsid w:val="00B02EC7"/>
    <w:rsid w:val="00B07619"/>
    <w:rsid w:val="00B15657"/>
    <w:rsid w:val="00B17C46"/>
    <w:rsid w:val="00B23D1B"/>
    <w:rsid w:val="00B378A2"/>
    <w:rsid w:val="00B40F4C"/>
    <w:rsid w:val="00B4205D"/>
    <w:rsid w:val="00B420DF"/>
    <w:rsid w:val="00B57708"/>
    <w:rsid w:val="00B62B3F"/>
    <w:rsid w:val="00B650E5"/>
    <w:rsid w:val="00B663C0"/>
    <w:rsid w:val="00B730DF"/>
    <w:rsid w:val="00B775EB"/>
    <w:rsid w:val="00B80807"/>
    <w:rsid w:val="00B8217B"/>
    <w:rsid w:val="00B86E4C"/>
    <w:rsid w:val="00B9039E"/>
    <w:rsid w:val="00B9165F"/>
    <w:rsid w:val="00B93B38"/>
    <w:rsid w:val="00B95984"/>
    <w:rsid w:val="00B96BCF"/>
    <w:rsid w:val="00BA001A"/>
    <w:rsid w:val="00BA32E7"/>
    <w:rsid w:val="00BB1390"/>
    <w:rsid w:val="00BB3AF3"/>
    <w:rsid w:val="00BB4D82"/>
    <w:rsid w:val="00BC2445"/>
    <w:rsid w:val="00BC6F65"/>
    <w:rsid w:val="00BD71E9"/>
    <w:rsid w:val="00BD786A"/>
    <w:rsid w:val="00BE38A4"/>
    <w:rsid w:val="00BE7EB3"/>
    <w:rsid w:val="00BF3595"/>
    <w:rsid w:val="00BF4EF0"/>
    <w:rsid w:val="00BF5C6D"/>
    <w:rsid w:val="00BF5FFA"/>
    <w:rsid w:val="00C00E4F"/>
    <w:rsid w:val="00C15BCA"/>
    <w:rsid w:val="00C260A4"/>
    <w:rsid w:val="00C363FA"/>
    <w:rsid w:val="00C42045"/>
    <w:rsid w:val="00C4321D"/>
    <w:rsid w:val="00C56582"/>
    <w:rsid w:val="00C6110B"/>
    <w:rsid w:val="00C62C78"/>
    <w:rsid w:val="00C640F3"/>
    <w:rsid w:val="00C672A0"/>
    <w:rsid w:val="00C67E5C"/>
    <w:rsid w:val="00C70654"/>
    <w:rsid w:val="00C83EB5"/>
    <w:rsid w:val="00C84015"/>
    <w:rsid w:val="00C859F9"/>
    <w:rsid w:val="00C9123C"/>
    <w:rsid w:val="00C92630"/>
    <w:rsid w:val="00CA3284"/>
    <w:rsid w:val="00CA4A9B"/>
    <w:rsid w:val="00CA58DC"/>
    <w:rsid w:val="00CB7379"/>
    <w:rsid w:val="00CB7EB5"/>
    <w:rsid w:val="00CC617E"/>
    <w:rsid w:val="00CC7666"/>
    <w:rsid w:val="00CD01D1"/>
    <w:rsid w:val="00CD4AD4"/>
    <w:rsid w:val="00CE23DB"/>
    <w:rsid w:val="00CE3E4A"/>
    <w:rsid w:val="00CE7D6B"/>
    <w:rsid w:val="00CF3C20"/>
    <w:rsid w:val="00CF48DF"/>
    <w:rsid w:val="00D0326D"/>
    <w:rsid w:val="00D04565"/>
    <w:rsid w:val="00D04AC0"/>
    <w:rsid w:val="00D143AB"/>
    <w:rsid w:val="00D2131E"/>
    <w:rsid w:val="00D250E6"/>
    <w:rsid w:val="00D37160"/>
    <w:rsid w:val="00D404D5"/>
    <w:rsid w:val="00D4431A"/>
    <w:rsid w:val="00D47ABA"/>
    <w:rsid w:val="00D63A15"/>
    <w:rsid w:val="00D6502F"/>
    <w:rsid w:val="00D67B75"/>
    <w:rsid w:val="00D7027E"/>
    <w:rsid w:val="00D74FC6"/>
    <w:rsid w:val="00D77E19"/>
    <w:rsid w:val="00D80622"/>
    <w:rsid w:val="00D809F2"/>
    <w:rsid w:val="00D850A5"/>
    <w:rsid w:val="00D86A2A"/>
    <w:rsid w:val="00D87EEB"/>
    <w:rsid w:val="00D93C1F"/>
    <w:rsid w:val="00DA1CF1"/>
    <w:rsid w:val="00DA7703"/>
    <w:rsid w:val="00DB2CCF"/>
    <w:rsid w:val="00DC089B"/>
    <w:rsid w:val="00DC2005"/>
    <w:rsid w:val="00DC7244"/>
    <w:rsid w:val="00DD357C"/>
    <w:rsid w:val="00DD3E52"/>
    <w:rsid w:val="00DD4511"/>
    <w:rsid w:val="00DE26E2"/>
    <w:rsid w:val="00DE7B0A"/>
    <w:rsid w:val="00DE7B5F"/>
    <w:rsid w:val="00DF041F"/>
    <w:rsid w:val="00E0268D"/>
    <w:rsid w:val="00E02E99"/>
    <w:rsid w:val="00E05305"/>
    <w:rsid w:val="00E06027"/>
    <w:rsid w:val="00E12124"/>
    <w:rsid w:val="00E12C88"/>
    <w:rsid w:val="00E1321A"/>
    <w:rsid w:val="00E1443D"/>
    <w:rsid w:val="00E16A21"/>
    <w:rsid w:val="00E23CB0"/>
    <w:rsid w:val="00E25FB1"/>
    <w:rsid w:val="00E274AE"/>
    <w:rsid w:val="00E27505"/>
    <w:rsid w:val="00E33B05"/>
    <w:rsid w:val="00E402B6"/>
    <w:rsid w:val="00E40E67"/>
    <w:rsid w:val="00E44641"/>
    <w:rsid w:val="00E4739B"/>
    <w:rsid w:val="00E5552F"/>
    <w:rsid w:val="00E5758D"/>
    <w:rsid w:val="00E62C9E"/>
    <w:rsid w:val="00E71459"/>
    <w:rsid w:val="00E7446C"/>
    <w:rsid w:val="00E8529F"/>
    <w:rsid w:val="00E94B18"/>
    <w:rsid w:val="00EA28BB"/>
    <w:rsid w:val="00EB5C37"/>
    <w:rsid w:val="00EB5F4E"/>
    <w:rsid w:val="00EB6060"/>
    <w:rsid w:val="00EC3D41"/>
    <w:rsid w:val="00EC4E1B"/>
    <w:rsid w:val="00EC7C0F"/>
    <w:rsid w:val="00EC7C71"/>
    <w:rsid w:val="00ED00ED"/>
    <w:rsid w:val="00ED7152"/>
    <w:rsid w:val="00ED739F"/>
    <w:rsid w:val="00ED75EC"/>
    <w:rsid w:val="00EE2874"/>
    <w:rsid w:val="00EF413E"/>
    <w:rsid w:val="00EF7341"/>
    <w:rsid w:val="00F015D9"/>
    <w:rsid w:val="00F03B24"/>
    <w:rsid w:val="00F054FD"/>
    <w:rsid w:val="00F0682A"/>
    <w:rsid w:val="00F10086"/>
    <w:rsid w:val="00F1106C"/>
    <w:rsid w:val="00F14AA9"/>
    <w:rsid w:val="00F16FC9"/>
    <w:rsid w:val="00F2313F"/>
    <w:rsid w:val="00F30BF4"/>
    <w:rsid w:val="00F30CA3"/>
    <w:rsid w:val="00F31BCD"/>
    <w:rsid w:val="00F37E29"/>
    <w:rsid w:val="00F461A1"/>
    <w:rsid w:val="00F47D44"/>
    <w:rsid w:val="00F50BF2"/>
    <w:rsid w:val="00F554D1"/>
    <w:rsid w:val="00F5685B"/>
    <w:rsid w:val="00F61194"/>
    <w:rsid w:val="00F618E8"/>
    <w:rsid w:val="00F662A0"/>
    <w:rsid w:val="00F67B00"/>
    <w:rsid w:val="00F67B4F"/>
    <w:rsid w:val="00F7460D"/>
    <w:rsid w:val="00F770F3"/>
    <w:rsid w:val="00F8445B"/>
    <w:rsid w:val="00F91114"/>
    <w:rsid w:val="00F93C15"/>
    <w:rsid w:val="00FA0A85"/>
    <w:rsid w:val="00FA19AA"/>
    <w:rsid w:val="00FA3758"/>
    <w:rsid w:val="00FB2027"/>
    <w:rsid w:val="00FB20D3"/>
    <w:rsid w:val="00FB7206"/>
    <w:rsid w:val="00FC5417"/>
    <w:rsid w:val="00FD4CD9"/>
    <w:rsid w:val="00FD6243"/>
    <w:rsid w:val="00FD65FB"/>
    <w:rsid w:val="00FD7201"/>
    <w:rsid w:val="00FD73C0"/>
    <w:rsid w:val="00FE157B"/>
    <w:rsid w:val="00FE50D5"/>
    <w:rsid w:val="00FF0085"/>
    <w:rsid w:val="00FF2696"/>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5C952"/>
  <w15:docId w15:val="{2E9534B7-FF64-4B8B-8956-A9FA096A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1D73"/>
    <w:rPr>
      <w:sz w:val="24"/>
      <w:szCs w:val="24"/>
      <w:lang w:eastAsia="en-US"/>
    </w:rPr>
  </w:style>
  <w:style w:type="paragraph" w:styleId="Heading1">
    <w:name w:val="heading 1"/>
    <w:basedOn w:val="Normal"/>
    <w:next w:val="Normal"/>
    <w:link w:val="Heading1Char"/>
    <w:qFormat/>
    <w:rsid w:val="00921E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autoRedefine/>
    <w:qFormat/>
    <w:rsid w:val="00E33B05"/>
    <w:pPr>
      <w:keepNext/>
      <w:spacing w:before="120"/>
      <w:ind w:left="120" w:hanging="480"/>
      <w:jc w:val="both"/>
      <w:outlineLvl w:val="1"/>
    </w:pPr>
    <w:rPr>
      <w:b/>
      <w:lang w:val="fr-FR"/>
    </w:rPr>
  </w:style>
  <w:style w:type="paragraph" w:styleId="Heading5">
    <w:name w:val="heading 5"/>
    <w:basedOn w:val="Normal"/>
    <w:next w:val="Normal"/>
    <w:qFormat/>
    <w:rsid w:val="00A12C4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613C90"/>
    <w:pPr>
      <w:ind w:left="240"/>
    </w:pPr>
  </w:style>
  <w:style w:type="paragraph" w:styleId="BodyText2">
    <w:name w:val="Body Text 2"/>
    <w:basedOn w:val="Normal"/>
    <w:rsid w:val="00395677"/>
    <w:pPr>
      <w:jc w:val="both"/>
    </w:pPr>
    <w:rPr>
      <w:sz w:val="20"/>
    </w:rPr>
  </w:style>
  <w:style w:type="paragraph" w:styleId="Title">
    <w:name w:val="Title"/>
    <w:basedOn w:val="Normal"/>
    <w:link w:val="TitleChar"/>
    <w:qFormat/>
    <w:rsid w:val="00395677"/>
    <w:pPr>
      <w:jc w:val="center"/>
    </w:pPr>
    <w:rPr>
      <w:b/>
      <w:bCs/>
    </w:rPr>
  </w:style>
  <w:style w:type="character" w:styleId="Hyperlink">
    <w:name w:val="Hyperlink"/>
    <w:basedOn w:val="DefaultParagraphFont"/>
    <w:uiPriority w:val="99"/>
    <w:rsid w:val="00395677"/>
    <w:rPr>
      <w:color w:val="0000FF"/>
      <w:u w:val="single"/>
    </w:rPr>
  </w:style>
  <w:style w:type="paragraph" w:styleId="BalloonText">
    <w:name w:val="Balloon Text"/>
    <w:basedOn w:val="Normal"/>
    <w:semiHidden/>
    <w:rsid w:val="006712B4"/>
    <w:rPr>
      <w:rFonts w:ascii="Tahoma" w:hAnsi="Tahoma" w:cs="Tahoma"/>
      <w:sz w:val="16"/>
      <w:szCs w:val="16"/>
    </w:rPr>
  </w:style>
  <w:style w:type="paragraph" w:styleId="DocumentMap">
    <w:name w:val="Document Map"/>
    <w:basedOn w:val="Normal"/>
    <w:semiHidden/>
    <w:rsid w:val="00DD3E52"/>
    <w:pPr>
      <w:shd w:val="clear" w:color="auto" w:fill="000080"/>
    </w:pPr>
    <w:rPr>
      <w:rFonts w:ascii="Tahoma" w:hAnsi="Tahoma" w:cs="Tahoma"/>
      <w:sz w:val="20"/>
      <w:szCs w:val="20"/>
    </w:rPr>
  </w:style>
  <w:style w:type="paragraph" w:styleId="Footer">
    <w:name w:val="footer"/>
    <w:basedOn w:val="Normal"/>
    <w:link w:val="FooterChar"/>
    <w:uiPriority w:val="99"/>
    <w:rsid w:val="00DE7B0A"/>
    <w:pPr>
      <w:tabs>
        <w:tab w:val="center" w:pos="4320"/>
        <w:tab w:val="right" w:pos="8640"/>
      </w:tabs>
    </w:pPr>
  </w:style>
  <w:style w:type="character" w:styleId="PageNumber">
    <w:name w:val="page number"/>
    <w:basedOn w:val="DefaultParagraphFont"/>
    <w:rsid w:val="00DE7B0A"/>
  </w:style>
  <w:style w:type="paragraph" w:styleId="BodyTextIndent">
    <w:name w:val="Body Text Indent"/>
    <w:basedOn w:val="Normal"/>
    <w:link w:val="BodyTextIndentChar"/>
    <w:rsid w:val="00CA58DC"/>
    <w:pPr>
      <w:spacing w:after="120"/>
      <w:ind w:left="360"/>
    </w:pPr>
  </w:style>
  <w:style w:type="paragraph" w:styleId="ListParagraph">
    <w:name w:val="List Paragraph"/>
    <w:basedOn w:val="Normal"/>
    <w:link w:val="ListParagraphChar"/>
    <w:uiPriority w:val="34"/>
    <w:qFormat/>
    <w:rsid w:val="00EE2874"/>
    <w:pPr>
      <w:ind w:left="720"/>
      <w:contextualSpacing/>
    </w:pPr>
  </w:style>
  <w:style w:type="character" w:customStyle="1" w:styleId="BodyTextIndentChar">
    <w:name w:val="Body Text Indent Char"/>
    <w:basedOn w:val="DefaultParagraphFont"/>
    <w:link w:val="BodyTextIndent"/>
    <w:rsid w:val="005B54C6"/>
    <w:rPr>
      <w:sz w:val="24"/>
      <w:szCs w:val="24"/>
      <w:lang w:eastAsia="en-US"/>
    </w:rPr>
  </w:style>
  <w:style w:type="character" w:styleId="CommentReference">
    <w:name w:val="annotation reference"/>
    <w:basedOn w:val="DefaultParagraphFont"/>
    <w:rsid w:val="007D7324"/>
    <w:rPr>
      <w:sz w:val="16"/>
      <w:szCs w:val="16"/>
    </w:rPr>
  </w:style>
  <w:style w:type="paragraph" w:styleId="CommentText">
    <w:name w:val="annotation text"/>
    <w:basedOn w:val="Normal"/>
    <w:link w:val="CommentTextChar"/>
    <w:rsid w:val="007D7324"/>
    <w:rPr>
      <w:sz w:val="20"/>
      <w:szCs w:val="20"/>
    </w:rPr>
  </w:style>
  <w:style w:type="character" w:customStyle="1" w:styleId="CommentTextChar">
    <w:name w:val="Comment Text Char"/>
    <w:basedOn w:val="DefaultParagraphFont"/>
    <w:link w:val="CommentText"/>
    <w:rsid w:val="007D7324"/>
    <w:rPr>
      <w:lang w:eastAsia="en-US"/>
    </w:rPr>
  </w:style>
  <w:style w:type="paragraph" w:styleId="CommentSubject">
    <w:name w:val="annotation subject"/>
    <w:basedOn w:val="CommentText"/>
    <w:next w:val="CommentText"/>
    <w:link w:val="CommentSubjectChar"/>
    <w:rsid w:val="007D7324"/>
    <w:rPr>
      <w:b/>
      <w:bCs/>
    </w:rPr>
  </w:style>
  <w:style w:type="character" w:customStyle="1" w:styleId="CommentSubjectChar">
    <w:name w:val="Comment Subject Char"/>
    <w:basedOn w:val="CommentTextChar"/>
    <w:link w:val="CommentSubject"/>
    <w:rsid w:val="007D7324"/>
    <w:rPr>
      <w:b/>
      <w:bCs/>
      <w:lang w:eastAsia="en-US"/>
    </w:rPr>
  </w:style>
  <w:style w:type="character" w:customStyle="1" w:styleId="Preparersnotenobold">
    <w:name w:val="Preparer's note (no bold)"/>
    <w:rsid w:val="002225CB"/>
    <w:rPr>
      <w:i/>
    </w:rPr>
  </w:style>
  <w:style w:type="paragraph" w:customStyle="1" w:styleId="BankNormal">
    <w:name w:val="BankNormal"/>
    <w:basedOn w:val="Normal"/>
    <w:rsid w:val="00B00EA9"/>
    <w:pPr>
      <w:spacing w:after="240"/>
    </w:pPr>
    <w:rPr>
      <w:szCs w:val="20"/>
      <w:lang w:val="en-US"/>
    </w:rPr>
  </w:style>
  <w:style w:type="character" w:customStyle="1" w:styleId="Heading1Char">
    <w:name w:val="Heading 1 Char"/>
    <w:basedOn w:val="DefaultParagraphFont"/>
    <w:link w:val="Heading1"/>
    <w:rsid w:val="00921E3F"/>
    <w:rPr>
      <w:rFonts w:asciiTheme="majorHAnsi" w:eastAsiaTheme="majorEastAsia" w:hAnsiTheme="majorHAnsi" w:cstheme="majorBidi"/>
      <w:b/>
      <w:bCs/>
      <w:color w:val="365F91" w:themeColor="accent1" w:themeShade="BF"/>
      <w:sz w:val="28"/>
      <w:szCs w:val="28"/>
      <w:lang w:eastAsia="en-US"/>
    </w:rPr>
  </w:style>
  <w:style w:type="paragraph" w:styleId="NoSpacing">
    <w:name w:val="No Spacing"/>
    <w:uiPriority w:val="1"/>
    <w:qFormat/>
    <w:rsid w:val="00704E8A"/>
    <w:rPr>
      <w:sz w:val="24"/>
      <w:lang w:val="en-US" w:eastAsia="en-US"/>
    </w:rPr>
  </w:style>
  <w:style w:type="paragraph" w:styleId="Header">
    <w:name w:val="header"/>
    <w:basedOn w:val="Normal"/>
    <w:link w:val="HeaderChar"/>
    <w:rsid w:val="003E1F5C"/>
    <w:pPr>
      <w:tabs>
        <w:tab w:val="center" w:pos="4513"/>
        <w:tab w:val="right" w:pos="9026"/>
      </w:tabs>
    </w:pPr>
  </w:style>
  <w:style w:type="character" w:customStyle="1" w:styleId="HeaderChar">
    <w:name w:val="Header Char"/>
    <w:basedOn w:val="DefaultParagraphFont"/>
    <w:link w:val="Header"/>
    <w:rsid w:val="003E1F5C"/>
    <w:rPr>
      <w:sz w:val="24"/>
      <w:szCs w:val="24"/>
      <w:lang w:eastAsia="en-US"/>
    </w:rPr>
  </w:style>
  <w:style w:type="paragraph" w:styleId="BodyText">
    <w:name w:val="Body Text"/>
    <w:basedOn w:val="Normal"/>
    <w:link w:val="BodyTextChar"/>
    <w:unhideWhenUsed/>
    <w:rsid w:val="00FE50D5"/>
    <w:pPr>
      <w:spacing w:after="120"/>
    </w:pPr>
  </w:style>
  <w:style w:type="character" w:customStyle="1" w:styleId="BodyTextChar">
    <w:name w:val="Body Text Char"/>
    <w:basedOn w:val="DefaultParagraphFont"/>
    <w:link w:val="BodyText"/>
    <w:rsid w:val="00FE50D5"/>
    <w:rPr>
      <w:sz w:val="24"/>
      <w:szCs w:val="24"/>
      <w:lang w:eastAsia="en-US"/>
    </w:rPr>
  </w:style>
  <w:style w:type="table" w:styleId="TableGrid">
    <w:name w:val="Table Grid"/>
    <w:basedOn w:val="TableNormal"/>
    <w:uiPriority w:val="39"/>
    <w:rsid w:val="00D143A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4B0948"/>
    <w:rPr>
      <w:b/>
      <w:bCs/>
      <w:sz w:val="24"/>
      <w:szCs w:val="24"/>
      <w:lang w:eastAsia="en-US"/>
    </w:rPr>
  </w:style>
  <w:style w:type="character" w:customStyle="1" w:styleId="FooterChar">
    <w:name w:val="Footer Char"/>
    <w:basedOn w:val="DefaultParagraphFont"/>
    <w:link w:val="Footer"/>
    <w:uiPriority w:val="99"/>
    <w:rsid w:val="003B17E9"/>
    <w:rPr>
      <w:sz w:val="24"/>
      <w:szCs w:val="24"/>
      <w:lang w:eastAsia="en-US"/>
    </w:rPr>
  </w:style>
  <w:style w:type="paragraph" w:customStyle="1" w:styleId="Default">
    <w:name w:val="Default"/>
    <w:rsid w:val="003B17E9"/>
    <w:pPr>
      <w:autoSpaceDE w:val="0"/>
      <w:autoSpaceDN w:val="0"/>
      <w:adjustRightInd w:val="0"/>
    </w:pPr>
    <w:rPr>
      <w:rFonts w:ascii="Arial" w:eastAsiaTheme="minorHAnsi" w:hAnsi="Arial" w:cs="Arial"/>
      <w:color w:val="000000"/>
      <w:sz w:val="24"/>
      <w:szCs w:val="24"/>
      <w:lang w:val="en-US" w:eastAsia="en-US"/>
    </w:rPr>
  </w:style>
  <w:style w:type="paragraph" w:customStyle="1" w:styleId="PeragoAnswerBullet">
    <w:name w:val="Perago Answer Bullet"/>
    <w:basedOn w:val="Normal"/>
    <w:rsid w:val="002677A4"/>
    <w:pPr>
      <w:numPr>
        <w:numId w:val="3"/>
      </w:numPr>
      <w:jc w:val="both"/>
    </w:pPr>
    <w:rPr>
      <w:rFonts w:ascii="Arial" w:hAnsi="Arial"/>
      <w:snapToGrid w:val="0"/>
      <w:color w:val="0000FF"/>
      <w:sz w:val="20"/>
      <w:szCs w:val="20"/>
      <w:lang w:val="en-US"/>
    </w:rPr>
  </w:style>
  <w:style w:type="character" w:customStyle="1" w:styleId="ListParagraphChar">
    <w:name w:val="List Paragraph Char"/>
    <w:link w:val="ListParagraph"/>
    <w:uiPriority w:val="34"/>
    <w:locked/>
    <w:rsid w:val="00EF413E"/>
    <w:rPr>
      <w:sz w:val="24"/>
      <w:szCs w:val="24"/>
      <w:lang w:eastAsia="en-US"/>
    </w:rPr>
  </w:style>
  <w:style w:type="character" w:customStyle="1" w:styleId="InstructionalText1Char">
    <w:name w:val="Instructional Text 1 Char"/>
    <w:link w:val="InstructionalText1"/>
    <w:rsid w:val="00FB7206"/>
    <w:rPr>
      <w:i/>
      <w:iCs/>
      <w:color w:val="0000FF"/>
      <w:sz w:val="24"/>
    </w:rPr>
  </w:style>
  <w:style w:type="paragraph" w:customStyle="1" w:styleId="InstructionalText1">
    <w:name w:val="Instructional Text 1"/>
    <w:basedOn w:val="Normal"/>
    <w:next w:val="BodyText"/>
    <w:link w:val="InstructionalText1Char"/>
    <w:rsid w:val="00FB7206"/>
    <w:pPr>
      <w:keepLines/>
      <w:autoSpaceDE w:val="0"/>
      <w:autoSpaceDN w:val="0"/>
      <w:adjustRightInd w:val="0"/>
      <w:spacing w:before="60" w:after="120" w:line="240" w:lineRule="atLeast"/>
    </w:pPr>
    <w:rPr>
      <w:i/>
      <w:iCs/>
      <w:color w:val="0000FF"/>
      <w:szCs w:val="20"/>
      <w:lang w:eastAsia="en-GB"/>
    </w:rPr>
  </w:style>
  <w:style w:type="character" w:customStyle="1" w:styleId="preparersnote">
    <w:name w:val="preparer's note"/>
    <w:rsid w:val="00173B79"/>
    <w:rPr>
      <w:b/>
      <w:i/>
    </w:rPr>
  </w:style>
  <w:style w:type="paragraph" w:styleId="Revision">
    <w:name w:val="Revision"/>
    <w:hidden/>
    <w:uiPriority w:val="99"/>
    <w:semiHidden/>
    <w:rsid w:val="009E1FB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2375">
      <w:bodyDiv w:val="1"/>
      <w:marLeft w:val="0"/>
      <w:marRight w:val="0"/>
      <w:marTop w:val="0"/>
      <w:marBottom w:val="0"/>
      <w:divBdr>
        <w:top w:val="none" w:sz="0" w:space="0" w:color="auto"/>
        <w:left w:val="none" w:sz="0" w:space="0" w:color="auto"/>
        <w:bottom w:val="none" w:sz="0" w:space="0" w:color="auto"/>
        <w:right w:val="none" w:sz="0" w:space="0" w:color="auto"/>
      </w:divBdr>
      <w:divsChild>
        <w:div w:id="5987608">
          <w:marLeft w:val="0"/>
          <w:marRight w:val="0"/>
          <w:marTop w:val="0"/>
          <w:marBottom w:val="0"/>
          <w:divBdr>
            <w:top w:val="none" w:sz="0" w:space="0" w:color="auto"/>
            <w:left w:val="none" w:sz="0" w:space="0" w:color="auto"/>
            <w:bottom w:val="none" w:sz="0" w:space="0" w:color="auto"/>
            <w:right w:val="none" w:sz="0" w:space="0" w:color="auto"/>
          </w:divBdr>
        </w:div>
        <w:div w:id="531918365">
          <w:marLeft w:val="0"/>
          <w:marRight w:val="0"/>
          <w:marTop w:val="0"/>
          <w:marBottom w:val="0"/>
          <w:divBdr>
            <w:top w:val="none" w:sz="0" w:space="0" w:color="auto"/>
            <w:left w:val="none" w:sz="0" w:space="0" w:color="auto"/>
            <w:bottom w:val="none" w:sz="0" w:space="0" w:color="auto"/>
            <w:right w:val="none" w:sz="0" w:space="0" w:color="auto"/>
          </w:divBdr>
        </w:div>
        <w:div w:id="600452252">
          <w:marLeft w:val="0"/>
          <w:marRight w:val="0"/>
          <w:marTop w:val="0"/>
          <w:marBottom w:val="0"/>
          <w:divBdr>
            <w:top w:val="none" w:sz="0" w:space="0" w:color="auto"/>
            <w:left w:val="none" w:sz="0" w:space="0" w:color="auto"/>
            <w:bottom w:val="none" w:sz="0" w:space="0" w:color="auto"/>
            <w:right w:val="none" w:sz="0" w:space="0" w:color="auto"/>
          </w:divBdr>
        </w:div>
        <w:div w:id="819346897">
          <w:marLeft w:val="0"/>
          <w:marRight w:val="0"/>
          <w:marTop w:val="0"/>
          <w:marBottom w:val="0"/>
          <w:divBdr>
            <w:top w:val="none" w:sz="0" w:space="0" w:color="auto"/>
            <w:left w:val="none" w:sz="0" w:space="0" w:color="auto"/>
            <w:bottom w:val="none" w:sz="0" w:space="0" w:color="auto"/>
            <w:right w:val="none" w:sz="0" w:space="0" w:color="auto"/>
          </w:divBdr>
        </w:div>
        <w:div w:id="969018555">
          <w:marLeft w:val="0"/>
          <w:marRight w:val="0"/>
          <w:marTop w:val="0"/>
          <w:marBottom w:val="0"/>
          <w:divBdr>
            <w:top w:val="none" w:sz="0" w:space="0" w:color="auto"/>
            <w:left w:val="none" w:sz="0" w:space="0" w:color="auto"/>
            <w:bottom w:val="none" w:sz="0" w:space="0" w:color="auto"/>
            <w:right w:val="none" w:sz="0" w:space="0" w:color="auto"/>
          </w:divBdr>
        </w:div>
        <w:div w:id="1571188892">
          <w:marLeft w:val="0"/>
          <w:marRight w:val="0"/>
          <w:marTop w:val="0"/>
          <w:marBottom w:val="0"/>
          <w:divBdr>
            <w:top w:val="none" w:sz="0" w:space="0" w:color="auto"/>
            <w:left w:val="none" w:sz="0" w:space="0" w:color="auto"/>
            <w:bottom w:val="none" w:sz="0" w:space="0" w:color="auto"/>
            <w:right w:val="none" w:sz="0" w:space="0" w:color="auto"/>
          </w:divBdr>
        </w:div>
        <w:div w:id="1622764695">
          <w:marLeft w:val="0"/>
          <w:marRight w:val="0"/>
          <w:marTop w:val="0"/>
          <w:marBottom w:val="0"/>
          <w:divBdr>
            <w:top w:val="none" w:sz="0" w:space="0" w:color="auto"/>
            <w:left w:val="none" w:sz="0" w:space="0" w:color="auto"/>
            <w:bottom w:val="none" w:sz="0" w:space="0" w:color="auto"/>
            <w:right w:val="none" w:sz="0" w:space="0" w:color="auto"/>
          </w:divBdr>
        </w:div>
        <w:div w:id="1670406173">
          <w:marLeft w:val="0"/>
          <w:marRight w:val="0"/>
          <w:marTop w:val="0"/>
          <w:marBottom w:val="0"/>
          <w:divBdr>
            <w:top w:val="none" w:sz="0" w:space="0" w:color="auto"/>
            <w:left w:val="none" w:sz="0" w:space="0" w:color="auto"/>
            <w:bottom w:val="none" w:sz="0" w:space="0" w:color="auto"/>
            <w:right w:val="none" w:sz="0" w:space="0" w:color="auto"/>
          </w:divBdr>
        </w:div>
        <w:div w:id="1841693045">
          <w:marLeft w:val="0"/>
          <w:marRight w:val="0"/>
          <w:marTop w:val="0"/>
          <w:marBottom w:val="0"/>
          <w:divBdr>
            <w:top w:val="none" w:sz="0" w:space="0" w:color="auto"/>
            <w:left w:val="none" w:sz="0" w:space="0" w:color="auto"/>
            <w:bottom w:val="none" w:sz="0" w:space="0" w:color="auto"/>
            <w:right w:val="none" w:sz="0" w:space="0" w:color="auto"/>
          </w:divBdr>
        </w:div>
        <w:div w:id="1873879930">
          <w:marLeft w:val="0"/>
          <w:marRight w:val="0"/>
          <w:marTop w:val="0"/>
          <w:marBottom w:val="0"/>
          <w:divBdr>
            <w:top w:val="none" w:sz="0" w:space="0" w:color="auto"/>
            <w:left w:val="none" w:sz="0" w:space="0" w:color="auto"/>
            <w:bottom w:val="none" w:sz="0" w:space="0" w:color="auto"/>
            <w:right w:val="none" w:sz="0" w:space="0" w:color="auto"/>
          </w:divBdr>
        </w:div>
        <w:div w:id="1875851863">
          <w:marLeft w:val="0"/>
          <w:marRight w:val="0"/>
          <w:marTop w:val="0"/>
          <w:marBottom w:val="0"/>
          <w:divBdr>
            <w:top w:val="none" w:sz="0" w:space="0" w:color="auto"/>
            <w:left w:val="none" w:sz="0" w:space="0" w:color="auto"/>
            <w:bottom w:val="none" w:sz="0" w:space="0" w:color="auto"/>
            <w:right w:val="none" w:sz="0" w:space="0" w:color="auto"/>
          </w:divBdr>
        </w:div>
        <w:div w:id="2047951752">
          <w:marLeft w:val="0"/>
          <w:marRight w:val="0"/>
          <w:marTop w:val="0"/>
          <w:marBottom w:val="0"/>
          <w:divBdr>
            <w:top w:val="none" w:sz="0" w:space="0" w:color="auto"/>
            <w:left w:val="none" w:sz="0" w:space="0" w:color="auto"/>
            <w:bottom w:val="none" w:sz="0" w:space="0" w:color="auto"/>
            <w:right w:val="none" w:sz="0" w:space="0" w:color="auto"/>
          </w:divBdr>
        </w:div>
      </w:divsChild>
    </w:div>
    <w:div w:id="17499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09EC1-3575-47E3-A055-091B16C9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1969</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I</vt:lpstr>
    </vt:vector>
  </TitlesOfParts>
  <Company>Bank Of Zambia</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eangomwi</dc:creator>
  <cp:lastModifiedBy>Adess C. Ngoma</cp:lastModifiedBy>
  <cp:revision>2</cp:revision>
  <cp:lastPrinted>2022-05-31T07:23:00Z</cp:lastPrinted>
  <dcterms:created xsi:type="dcterms:W3CDTF">2022-06-14T07:45:00Z</dcterms:created>
  <dcterms:modified xsi:type="dcterms:W3CDTF">2022-06-14T07:45:00Z</dcterms:modified>
</cp:coreProperties>
</file>